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B31631" w:rsidRPr="00B31631">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r w:rsidR="00B31631">
        <w:rPr>
          <w:rFonts w:ascii="Times New Roman" w:hAnsi="Times New Roman"/>
          <w:sz w:val="22"/>
          <w:szCs w:val="22"/>
        </w:rPr>
        <w:t>.</w:t>
      </w:r>
    </w:p>
    <w:p w:rsidR="00B31631" w:rsidRPr="00B31631" w:rsidRDefault="00B31631" w:rsidP="004F7A0E">
      <w:pPr>
        <w:ind w:left="1134" w:hanging="567"/>
        <w:rPr>
          <w:rFonts w:ascii="Times New Roman" w:hAnsi="Times New Roman"/>
          <w:b/>
          <w:sz w:val="22"/>
          <w:szCs w:val="22"/>
          <w:u w:val="single"/>
        </w:rPr>
      </w:pPr>
      <w:r w:rsidRPr="00B31631">
        <w:rPr>
          <w:rFonts w:ascii="Times New Roman" w:hAnsi="Times New Roman"/>
          <w:b/>
          <w:sz w:val="22"/>
          <w:szCs w:val="22"/>
          <w:u w:val="single"/>
        </w:rPr>
        <w:t>For the Contracting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1"/>
        <w:gridCol w:w="6195"/>
      </w:tblGrid>
      <w:tr w:rsidR="00B31631" w:rsidRPr="00B31631" w:rsidTr="009835C0">
        <w:tc>
          <w:tcPr>
            <w:tcW w:w="1328" w:type="pct"/>
            <w:shd w:val="pct10" w:color="auto" w:fill="FFFFFF"/>
            <w:vAlign w:val="center"/>
          </w:tcPr>
          <w:p w:rsidR="00B31631" w:rsidRPr="00B31631" w:rsidRDefault="00B31631" w:rsidP="00A85CA9">
            <w:pPr>
              <w:spacing w:before="40" w:after="40"/>
              <w:rPr>
                <w:rFonts w:ascii="Times New Roman" w:hAnsi="Times New Roman"/>
                <w:b/>
                <w:sz w:val="22"/>
                <w:szCs w:val="22"/>
                <w:lang w:val="sv-SE"/>
              </w:rPr>
            </w:pPr>
            <w:r w:rsidRPr="00B31631">
              <w:rPr>
                <w:rFonts w:ascii="Times New Roman" w:hAnsi="Times New Roman"/>
                <w:b/>
                <w:sz w:val="22"/>
                <w:szCs w:val="22"/>
                <w:lang w:val="sv-SE"/>
              </w:rPr>
              <w:t>Name:</w:t>
            </w:r>
          </w:p>
        </w:tc>
        <w:tc>
          <w:tcPr>
            <w:tcW w:w="3672" w:type="pct"/>
          </w:tcPr>
          <w:p w:rsidR="0048633F" w:rsidRDefault="0048633F" w:rsidP="00B31631">
            <w:pPr>
              <w:spacing w:before="40" w:after="40"/>
              <w:rPr>
                <w:rFonts w:ascii="Times New Roman" w:hAnsi="Times New Roman"/>
                <w:sz w:val="22"/>
                <w:szCs w:val="22"/>
                <w:lang w:val="sv-SE"/>
              </w:rPr>
            </w:pPr>
            <w:r w:rsidRPr="0048633F">
              <w:rPr>
                <w:rFonts w:ascii="Times New Roman" w:hAnsi="Times New Roman"/>
                <w:sz w:val="22"/>
                <w:szCs w:val="22"/>
                <w:lang w:val="sv-SE"/>
              </w:rPr>
              <w:t>Commissariat for Refugees and Migration of the Republic of Serbia</w:t>
            </w:r>
          </w:p>
          <w:p w:rsidR="00B31631" w:rsidRPr="00B31631" w:rsidRDefault="00B31631" w:rsidP="00B31631">
            <w:pPr>
              <w:spacing w:before="40" w:after="40"/>
              <w:rPr>
                <w:rFonts w:ascii="Times New Roman" w:hAnsi="Times New Roman"/>
                <w:sz w:val="22"/>
                <w:szCs w:val="22"/>
              </w:rPr>
            </w:pPr>
            <w:r w:rsidRPr="00B31631">
              <w:rPr>
                <w:rFonts w:ascii="Times New Roman" w:hAnsi="Times New Roman"/>
                <w:sz w:val="22"/>
                <w:szCs w:val="22"/>
                <w:lang w:val="sv-SE"/>
              </w:rPr>
              <w:t xml:space="preserve">Attn: </w:t>
            </w:r>
            <w:r>
              <w:rPr>
                <w:rFonts w:ascii="Times New Roman" w:hAnsi="Times New Roman"/>
                <w:sz w:val="22"/>
                <w:szCs w:val="22"/>
                <w:lang w:val="sv-SE"/>
              </w:rPr>
              <w:t xml:space="preserve">Vladimir Cucić, </w:t>
            </w:r>
            <w:r w:rsidR="00CE7D24" w:rsidRPr="00CE7D24">
              <w:rPr>
                <w:rFonts w:ascii="Times New Roman" w:hAnsi="Times New Roman"/>
                <w:sz w:val="22"/>
                <w:szCs w:val="22"/>
                <w:lang w:val="sv-SE"/>
              </w:rPr>
              <w:t>commissar</w:t>
            </w:r>
          </w:p>
        </w:tc>
      </w:tr>
      <w:tr w:rsidR="00B31631" w:rsidRPr="00B31631" w:rsidTr="009835C0">
        <w:tc>
          <w:tcPr>
            <w:tcW w:w="1328" w:type="pct"/>
            <w:shd w:val="pct10" w:color="auto" w:fill="FFFFFF"/>
          </w:tcPr>
          <w:p w:rsidR="00B31631" w:rsidRPr="00B31631" w:rsidRDefault="00B31631" w:rsidP="00B31631">
            <w:pPr>
              <w:spacing w:before="40" w:after="40"/>
              <w:rPr>
                <w:rFonts w:ascii="Times New Roman" w:hAnsi="Times New Roman"/>
                <w:b/>
                <w:sz w:val="22"/>
                <w:szCs w:val="22"/>
                <w:lang w:val="sv-SE"/>
              </w:rPr>
            </w:pPr>
            <w:r w:rsidRPr="00B31631">
              <w:rPr>
                <w:rFonts w:ascii="Times New Roman" w:hAnsi="Times New Roman"/>
                <w:b/>
                <w:sz w:val="22"/>
                <w:szCs w:val="22"/>
                <w:lang w:val="sv-SE"/>
              </w:rPr>
              <w:t>Address:</w:t>
            </w:r>
          </w:p>
        </w:tc>
        <w:tc>
          <w:tcPr>
            <w:tcW w:w="3672" w:type="pct"/>
            <w:vAlign w:val="center"/>
          </w:tcPr>
          <w:p w:rsidR="00B31631" w:rsidRPr="00B31631" w:rsidRDefault="00B31631" w:rsidP="00B31631">
            <w:pPr>
              <w:spacing w:before="0" w:after="0"/>
              <w:rPr>
                <w:rFonts w:ascii="Times New Roman" w:hAnsi="Times New Roman"/>
                <w:sz w:val="22"/>
                <w:szCs w:val="22"/>
                <w:lang w:val="sv-SE"/>
              </w:rPr>
            </w:pPr>
            <w:r>
              <w:rPr>
                <w:rFonts w:ascii="Times New Roman" w:hAnsi="Times New Roman"/>
                <w:sz w:val="22"/>
                <w:szCs w:val="22"/>
                <w:lang w:val="sv-SE"/>
              </w:rPr>
              <w:t>Narodnih heroja 4, 11070 Novi Beograd</w:t>
            </w:r>
          </w:p>
        </w:tc>
      </w:tr>
      <w:tr w:rsidR="00B31631" w:rsidRPr="00B31631" w:rsidTr="009835C0">
        <w:tc>
          <w:tcPr>
            <w:tcW w:w="1328" w:type="pct"/>
            <w:shd w:val="pct10" w:color="auto" w:fill="FFFFFF"/>
          </w:tcPr>
          <w:p w:rsidR="00B31631" w:rsidRPr="00B31631" w:rsidRDefault="00B31631" w:rsidP="00B31631">
            <w:pPr>
              <w:spacing w:before="40" w:after="40"/>
              <w:rPr>
                <w:rFonts w:ascii="Times New Roman" w:hAnsi="Times New Roman"/>
                <w:b/>
                <w:sz w:val="22"/>
                <w:szCs w:val="22"/>
                <w:lang w:val="sv-SE"/>
              </w:rPr>
            </w:pPr>
            <w:r w:rsidRPr="00B31631">
              <w:rPr>
                <w:rFonts w:ascii="Times New Roman" w:hAnsi="Times New Roman"/>
                <w:b/>
                <w:sz w:val="22"/>
                <w:szCs w:val="22"/>
                <w:lang w:val="sv-SE"/>
              </w:rPr>
              <w:t>Telephone:</w:t>
            </w:r>
          </w:p>
        </w:tc>
        <w:tc>
          <w:tcPr>
            <w:tcW w:w="3672" w:type="pct"/>
          </w:tcPr>
          <w:p w:rsidR="00B31631" w:rsidRPr="00B31631" w:rsidRDefault="00B31631" w:rsidP="00B31631">
            <w:pPr>
              <w:spacing w:before="40" w:after="40"/>
              <w:rPr>
                <w:rFonts w:ascii="Times New Roman" w:hAnsi="Times New Roman"/>
                <w:sz w:val="22"/>
                <w:szCs w:val="22"/>
                <w:lang w:val="en-US"/>
              </w:rPr>
            </w:pPr>
            <w:r>
              <w:rPr>
                <w:rFonts w:ascii="Times New Roman" w:hAnsi="Times New Roman"/>
                <w:sz w:val="22"/>
                <w:szCs w:val="22"/>
                <w:lang w:val="sv-SE"/>
              </w:rPr>
              <w:t>+381 (0)11 311 72 72</w:t>
            </w:r>
          </w:p>
        </w:tc>
      </w:tr>
      <w:tr w:rsidR="00B31631" w:rsidRPr="00B31631" w:rsidTr="009835C0">
        <w:tc>
          <w:tcPr>
            <w:tcW w:w="1328" w:type="pct"/>
            <w:shd w:val="pct10" w:color="auto" w:fill="FFFFFF"/>
          </w:tcPr>
          <w:p w:rsidR="00B31631" w:rsidRPr="00B31631" w:rsidRDefault="00B31631" w:rsidP="00B31631">
            <w:pPr>
              <w:spacing w:before="40" w:after="40"/>
              <w:rPr>
                <w:rFonts w:ascii="Times New Roman" w:hAnsi="Times New Roman"/>
                <w:b/>
                <w:sz w:val="22"/>
                <w:szCs w:val="22"/>
                <w:lang w:val="sv-SE"/>
              </w:rPr>
            </w:pPr>
            <w:r w:rsidRPr="00B31631">
              <w:rPr>
                <w:rFonts w:ascii="Times New Roman" w:hAnsi="Times New Roman"/>
                <w:b/>
                <w:sz w:val="22"/>
                <w:szCs w:val="22"/>
                <w:lang w:val="sv-SE"/>
              </w:rPr>
              <w:t>Fax:</w:t>
            </w:r>
          </w:p>
        </w:tc>
        <w:tc>
          <w:tcPr>
            <w:tcW w:w="3672" w:type="pct"/>
          </w:tcPr>
          <w:p w:rsidR="00B31631" w:rsidRPr="00B31631" w:rsidRDefault="00B31631" w:rsidP="00B31631">
            <w:pPr>
              <w:spacing w:before="40" w:after="40"/>
              <w:rPr>
                <w:rFonts w:ascii="Times New Roman" w:hAnsi="Times New Roman"/>
                <w:sz w:val="22"/>
                <w:szCs w:val="22"/>
                <w:lang w:val="sv-SE"/>
              </w:rPr>
            </w:pPr>
            <w:r>
              <w:rPr>
                <w:rFonts w:ascii="Times New Roman" w:hAnsi="Times New Roman"/>
                <w:sz w:val="22"/>
                <w:szCs w:val="22"/>
                <w:lang w:val="sv-SE"/>
              </w:rPr>
              <w:t>+381 (0)11 312</w:t>
            </w:r>
            <w:r w:rsidRPr="00B31631">
              <w:rPr>
                <w:rFonts w:ascii="Times New Roman" w:hAnsi="Times New Roman"/>
                <w:sz w:val="22"/>
                <w:szCs w:val="22"/>
                <w:lang w:val="sv-SE"/>
              </w:rPr>
              <w:t xml:space="preserve"> </w:t>
            </w:r>
            <w:r>
              <w:rPr>
                <w:rFonts w:ascii="Times New Roman" w:hAnsi="Times New Roman"/>
                <w:sz w:val="22"/>
                <w:szCs w:val="22"/>
                <w:lang w:val="sv-SE"/>
              </w:rPr>
              <w:t>95</w:t>
            </w:r>
            <w:r w:rsidRPr="00B31631">
              <w:rPr>
                <w:rFonts w:ascii="Times New Roman" w:hAnsi="Times New Roman"/>
                <w:sz w:val="22"/>
                <w:szCs w:val="22"/>
                <w:lang w:val="sv-SE"/>
              </w:rPr>
              <w:t xml:space="preserve"> </w:t>
            </w:r>
            <w:r>
              <w:rPr>
                <w:rFonts w:ascii="Times New Roman" w:hAnsi="Times New Roman"/>
                <w:sz w:val="22"/>
                <w:szCs w:val="22"/>
                <w:lang w:val="sv-SE"/>
              </w:rPr>
              <w:t>85</w:t>
            </w:r>
          </w:p>
        </w:tc>
      </w:tr>
      <w:tr w:rsidR="00B31631" w:rsidRPr="00B31631" w:rsidTr="009835C0">
        <w:tc>
          <w:tcPr>
            <w:tcW w:w="1328" w:type="pct"/>
            <w:shd w:val="pct10" w:color="auto" w:fill="FFFFFF"/>
          </w:tcPr>
          <w:p w:rsidR="00B31631" w:rsidRPr="00B31631" w:rsidRDefault="00B31631" w:rsidP="00B31631">
            <w:pPr>
              <w:spacing w:before="40" w:after="40"/>
              <w:rPr>
                <w:rFonts w:ascii="Times New Roman" w:hAnsi="Times New Roman"/>
                <w:b/>
                <w:sz w:val="22"/>
                <w:szCs w:val="22"/>
                <w:lang w:val="sv-SE"/>
              </w:rPr>
            </w:pPr>
            <w:r>
              <w:rPr>
                <w:rFonts w:ascii="Times New Roman" w:hAnsi="Times New Roman"/>
                <w:b/>
                <w:sz w:val="22"/>
                <w:szCs w:val="22"/>
                <w:lang w:val="sv-SE"/>
              </w:rPr>
              <w:t>E-mail</w:t>
            </w:r>
          </w:p>
        </w:tc>
        <w:tc>
          <w:tcPr>
            <w:tcW w:w="3672" w:type="pct"/>
          </w:tcPr>
          <w:p w:rsidR="00B31631" w:rsidRPr="00B31631" w:rsidRDefault="009E452A" w:rsidP="00B31631">
            <w:pPr>
              <w:spacing w:before="40" w:after="40"/>
              <w:rPr>
                <w:rFonts w:ascii="Times New Roman" w:hAnsi="Times New Roman"/>
                <w:sz w:val="22"/>
                <w:szCs w:val="22"/>
                <w:lang w:val="sv-SE"/>
              </w:rPr>
            </w:pPr>
            <w:hyperlink r:id="rId7" w:history="1">
              <w:r w:rsidR="009F3092" w:rsidRPr="008829BF">
                <w:rPr>
                  <w:rStyle w:val="Hyperlink"/>
                  <w:rFonts w:ascii="Times New Roman" w:hAnsi="Times New Roman"/>
                  <w:sz w:val="22"/>
                  <w:szCs w:val="22"/>
                </w:rPr>
                <w:t>kirs@kirs.gov.rs</w:t>
              </w:r>
            </w:hyperlink>
            <w:r w:rsidR="009F3092">
              <w:rPr>
                <w:rFonts w:ascii="Times New Roman" w:hAnsi="Times New Roman"/>
                <w:sz w:val="22"/>
                <w:szCs w:val="22"/>
              </w:rPr>
              <w:t xml:space="preserve"> </w:t>
            </w:r>
          </w:p>
        </w:tc>
      </w:tr>
    </w:tbl>
    <w:p w:rsidR="00B31631" w:rsidRPr="00A85CA9" w:rsidRDefault="00A85CA9" w:rsidP="004F7A0E">
      <w:pPr>
        <w:ind w:left="1134" w:hanging="567"/>
        <w:rPr>
          <w:rFonts w:ascii="Times New Roman" w:hAnsi="Times New Roman"/>
          <w:b/>
          <w:sz w:val="22"/>
          <w:szCs w:val="22"/>
          <w:u w:val="single"/>
        </w:rPr>
      </w:pPr>
      <w:r w:rsidRPr="00A85CA9">
        <w:rPr>
          <w:rFonts w:ascii="Times New Roman" w:hAnsi="Times New Roman"/>
          <w:b/>
          <w:sz w:val="22"/>
          <w:szCs w:val="22"/>
          <w:u w:val="single"/>
        </w:rPr>
        <w:t>For the Contractor: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1"/>
        <w:gridCol w:w="6195"/>
      </w:tblGrid>
      <w:tr w:rsidR="00A85CA9" w:rsidRPr="00B31631" w:rsidTr="009835C0">
        <w:tc>
          <w:tcPr>
            <w:tcW w:w="1328" w:type="pct"/>
            <w:shd w:val="pct10" w:color="auto" w:fill="FFFFFF"/>
            <w:vAlign w:val="center"/>
          </w:tcPr>
          <w:p w:rsidR="00A85CA9" w:rsidRPr="00B31631" w:rsidRDefault="00A85CA9" w:rsidP="00E948DA">
            <w:pPr>
              <w:spacing w:before="40" w:after="40"/>
              <w:rPr>
                <w:rFonts w:ascii="Times New Roman" w:hAnsi="Times New Roman"/>
                <w:b/>
                <w:sz w:val="22"/>
                <w:szCs w:val="22"/>
                <w:lang w:val="sv-SE"/>
              </w:rPr>
            </w:pPr>
            <w:r w:rsidRPr="00B31631">
              <w:rPr>
                <w:rFonts w:ascii="Times New Roman" w:hAnsi="Times New Roman"/>
                <w:b/>
                <w:sz w:val="22"/>
                <w:szCs w:val="22"/>
                <w:lang w:val="sv-SE"/>
              </w:rPr>
              <w:t>Name:</w:t>
            </w:r>
          </w:p>
        </w:tc>
        <w:tc>
          <w:tcPr>
            <w:tcW w:w="3672" w:type="pct"/>
          </w:tcPr>
          <w:p w:rsidR="00A85CA9" w:rsidRPr="00B31631" w:rsidRDefault="00A85CA9" w:rsidP="00E948DA">
            <w:pPr>
              <w:spacing w:before="40" w:after="40"/>
              <w:rPr>
                <w:rFonts w:ascii="Times New Roman" w:hAnsi="Times New Roman"/>
                <w:sz w:val="22"/>
                <w:szCs w:val="22"/>
              </w:rPr>
            </w:pPr>
          </w:p>
        </w:tc>
      </w:tr>
      <w:tr w:rsidR="00A85CA9" w:rsidRPr="00B31631" w:rsidTr="009835C0">
        <w:tc>
          <w:tcPr>
            <w:tcW w:w="1328" w:type="pct"/>
            <w:shd w:val="pct10" w:color="auto" w:fill="FFFFFF"/>
          </w:tcPr>
          <w:p w:rsidR="00A85CA9" w:rsidRPr="00B31631" w:rsidRDefault="00A85CA9" w:rsidP="00E948DA">
            <w:pPr>
              <w:spacing w:before="40" w:after="40"/>
              <w:rPr>
                <w:rFonts w:ascii="Times New Roman" w:hAnsi="Times New Roman"/>
                <w:b/>
                <w:sz w:val="22"/>
                <w:szCs w:val="22"/>
                <w:lang w:val="sv-SE"/>
              </w:rPr>
            </w:pPr>
            <w:r w:rsidRPr="00B31631">
              <w:rPr>
                <w:rFonts w:ascii="Times New Roman" w:hAnsi="Times New Roman"/>
                <w:b/>
                <w:sz w:val="22"/>
                <w:szCs w:val="22"/>
                <w:lang w:val="sv-SE"/>
              </w:rPr>
              <w:t>Address:</w:t>
            </w:r>
          </w:p>
        </w:tc>
        <w:tc>
          <w:tcPr>
            <w:tcW w:w="3672" w:type="pct"/>
            <w:vAlign w:val="center"/>
          </w:tcPr>
          <w:p w:rsidR="00A85CA9" w:rsidRPr="00B31631" w:rsidRDefault="00A85CA9" w:rsidP="00E948DA">
            <w:pPr>
              <w:spacing w:before="0" w:after="0"/>
              <w:rPr>
                <w:rFonts w:ascii="Times New Roman" w:hAnsi="Times New Roman"/>
                <w:sz w:val="22"/>
                <w:szCs w:val="22"/>
                <w:lang w:val="sv-SE"/>
              </w:rPr>
            </w:pPr>
          </w:p>
        </w:tc>
      </w:tr>
      <w:tr w:rsidR="00A85CA9" w:rsidRPr="00B31631" w:rsidTr="009835C0">
        <w:tc>
          <w:tcPr>
            <w:tcW w:w="1328" w:type="pct"/>
            <w:shd w:val="pct10" w:color="auto" w:fill="FFFFFF"/>
          </w:tcPr>
          <w:p w:rsidR="00A85CA9" w:rsidRPr="00B31631" w:rsidRDefault="00A85CA9" w:rsidP="00E948DA">
            <w:pPr>
              <w:spacing w:before="40" w:after="40"/>
              <w:rPr>
                <w:rFonts w:ascii="Times New Roman" w:hAnsi="Times New Roman"/>
                <w:b/>
                <w:sz w:val="22"/>
                <w:szCs w:val="22"/>
                <w:lang w:val="sv-SE"/>
              </w:rPr>
            </w:pPr>
            <w:r w:rsidRPr="00B31631">
              <w:rPr>
                <w:rFonts w:ascii="Times New Roman" w:hAnsi="Times New Roman"/>
                <w:b/>
                <w:sz w:val="22"/>
                <w:szCs w:val="22"/>
                <w:lang w:val="sv-SE"/>
              </w:rPr>
              <w:t>Telephone:</w:t>
            </w:r>
          </w:p>
        </w:tc>
        <w:tc>
          <w:tcPr>
            <w:tcW w:w="3672" w:type="pct"/>
          </w:tcPr>
          <w:p w:rsidR="00A85CA9" w:rsidRPr="00B31631" w:rsidRDefault="00A85CA9" w:rsidP="00E948DA">
            <w:pPr>
              <w:spacing w:before="40" w:after="40"/>
              <w:rPr>
                <w:rFonts w:ascii="Times New Roman" w:hAnsi="Times New Roman"/>
                <w:sz w:val="22"/>
                <w:szCs w:val="22"/>
                <w:lang w:val="en-US"/>
              </w:rPr>
            </w:pPr>
          </w:p>
        </w:tc>
      </w:tr>
      <w:tr w:rsidR="00A85CA9" w:rsidRPr="00B31631" w:rsidTr="009835C0">
        <w:tc>
          <w:tcPr>
            <w:tcW w:w="1328" w:type="pct"/>
            <w:shd w:val="pct10" w:color="auto" w:fill="FFFFFF"/>
          </w:tcPr>
          <w:p w:rsidR="00A85CA9" w:rsidRPr="00B31631" w:rsidRDefault="00A85CA9" w:rsidP="00E948DA">
            <w:pPr>
              <w:spacing w:before="40" w:after="40"/>
              <w:rPr>
                <w:rFonts w:ascii="Times New Roman" w:hAnsi="Times New Roman"/>
                <w:b/>
                <w:sz w:val="22"/>
                <w:szCs w:val="22"/>
                <w:lang w:val="sv-SE"/>
              </w:rPr>
            </w:pPr>
            <w:r w:rsidRPr="00B31631">
              <w:rPr>
                <w:rFonts w:ascii="Times New Roman" w:hAnsi="Times New Roman"/>
                <w:b/>
                <w:sz w:val="22"/>
                <w:szCs w:val="22"/>
                <w:lang w:val="sv-SE"/>
              </w:rPr>
              <w:t>Fax:</w:t>
            </w:r>
          </w:p>
        </w:tc>
        <w:tc>
          <w:tcPr>
            <w:tcW w:w="3672" w:type="pct"/>
          </w:tcPr>
          <w:p w:rsidR="00A85CA9" w:rsidRPr="00B31631" w:rsidRDefault="00A85CA9" w:rsidP="00E948DA">
            <w:pPr>
              <w:spacing w:before="40" w:after="40"/>
              <w:rPr>
                <w:rFonts w:ascii="Times New Roman" w:hAnsi="Times New Roman"/>
                <w:sz w:val="22"/>
                <w:szCs w:val="22"/>
                <w:lang w:val="sv-SE"/>
              </w:rPr>
            </w:pPr>
          </w:p>
        </w:tc>
      </w:tr>
      <w:tr w:rsidR="00A85CA9" w:rsidRPr="00B31631" w:rsidTr="009835C0">
        <w:tc>
          <w:tcPr>
            <w:tcW w:w="1328" w:type="pct"/>
            <w:shd w:val="pct10" w:color="auto" w:fill="FFFFFF"/>
          </w:tcPr>
          <w:p w:rsidR="00A85CA9" w:rsidRPr="00B31631" w:rsidRDefault="00A85CA9" w:rsidP="00E948DA">
            <w:pPr>
              <w:spacing w:before="40" w:after="40"/>
              <w:rPr>
                <w:rFonts w:ascii="Times New Roman" w:hAnsi="Times New Roman"/>
                <w:b/>
                <w:sz w:val="22"/>
                <w:szCs w:val="22"/>
                <w:lang w:val="sv-SE"/>
              </w:rPr>
            </w:pPr>
            <w:r>
              <w:rPr>
                <w:rFonts w:ascii="Times New Roman" w:hAnsi="Times New Roman"/>
                <w:b/>
                <w:sz w:val="22"/>
                <w:szCs w:val="22"/>
                <w:lang w:val="sv-SE"/>
              </w:rPr>
              <w:t>E-mail</w:t>
            </w:r>
          </w:p>
        </w:tc>
        <w:tc>
          <w:tcPr>
            <w:tcW w:w="3672" w:type="pct"/>
          </w:tcPr>
          <w:p w:rsidR="00A85CA9" w:rsidRPr="00B31631" w:rsidRDefault="00A85CA9" w:rsidP="00E948DA">
            <w:pPr>
              <w:spacing w:before="40" w:after="40"/>
              <w:rPr>
                <w:rFonts w:ascii="Times New Roman" w:hAnsi="Times New Roman"/>
                <w:sz w:val="22"/>
                <w:szCs w:val="22"/>
                <w:lang w:val="sv-SE"/>
              </w:rPr>
            </w:pPr>
          </w:p>
        </w:tc>
      </w:tr>
    </w:tbl>
    <w:p w:rsidR="00215813" w:rsidRPr="00215813" w:rsidRDefault="00215813" w:rsidP="00215813">
      <w:pPr>
        <w:ind w:left="1134" w:hanging="567"/>
        <w:jc w:val="both"/>
        <w:rPr>
          <w:rFonts w:ascii="Times New Roman" w:hAnsi="Times New Roman"/>
          <w:sz w:val="22"/>
          <w:szCs w:val="22"/>
        </w:rPr>
      </w:pPr>
      <w:r w:rsidRPr="00215813">
        <w:rPr>
          <w:rFonts w:ascii="Times New Roman" w:hAnsi="Times New Roman"/>
          <w:sz w:val="22"/>
          <w:szCs w:val="22"/>
        </w:rPr>
        <w:t>4.2</w:t>
      </w:r>
      <w:r>
        <w:rPr>
          <w:rFonts w:ascii="Times New Roman" w:hAnsi="Times New Roman"/>
          <w:sz w:val="22"/>
          <w:szCs w:val="22"/>
        </w:rPr>
        <w:tab/>
      </w:r>
      <w:r w:rsidRPr="00215813">
        <w:rPr>
          <w:rFonts w:ascii="Times New Roman" w:hAnsi="Times New Roman"/>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A85CA9" w:rsidRPr="00215813" w:rsidRDefault="00215813" w:rsidP="00215813">
      <w:pPr>
        <w:ind w:left="1134" w:hanging="567"/>
        <w:jc w:val="both"/>
        <w:rPr>
          <w:rFonts w:ascii="Times New Roman" w:hAnsi="Times New Roman"/>
          <w:sz w:val="22"/>
          <w:szCs w:val="22"/>
        </w:rPr>
      </w:pPr>
      <w:r w:rsidRPr="00215813">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91439" w:rsidRPr="00491439" w:rsidRDefault="00491439" w:rsidP="00491439">
      <w:pPr>
        <w:ind w:left="1134"/>
        <w:jc w:val="both"/>
        <w:rPr>
          <w:rFonts w:ascii="Times New Roman" w:hAnsi="Times New Roman"/>
          <w:sz w:val="22"/>
          <w:szCs w:val="22"/>
        </w:rPr>
      </w:pPr>
      <w:r w:rsidRPr="00491439">
        <w:rPr>
          <w:rFonts w:ascii="Times New Roman" w:hAnsi="Times New Roman"/>
          <w:sz w:val="22"/>
          <w:szCs w:val="22"/>
        </w:rPr>
        <w:t>Notwithstanding any additional requirements stated elsewhere in the tender dossier, the contractor shall submit the requisite origin certificates, delivery notes, operation manuals, maintenance manuals and Manufacturer's warranty for the items delivered. All documents must be submitted in both a hard copy and a soft copy as well.</w:t>
      </w:r>
    </w:p>
    <w:p w:rsidR="0047783A" w:rsidRPr="003D6B6C" w:rsidRDefault="00491439" w:rsidP="00491439">
      <w:pPr>
        <w:ind w:left="1134"/>
        <w:jc w:val="both"/>
        <w:rPr>
          <w:rFonts w:ascii="Times New Roman" w:hAnsi="Times New Roman"/>
          <w:b/>
          <w:sz w:val="22"/>
          <w:szCs w:val="22"/>
        </w:rPr>
      </w:pPr>
      <w:r w:rsidRPr="00491439">
        <w:rPr>
          <w:rFonts w:ascii="Times New Roman" w:hAnsi="Times New Roman"/>
          <w:sz w:val="22"/>
          <w:szCs w:val="22"/>
        </w:rPr>
        <w:t>The contractor shall be responsible for any inconsistencies, errors or omissions in the documents supplied by her/him, whether such documents have been approved or not.</w:t>
      </w:r>
    </w:p>
    <w:p w:rsidR="00E0396B" w:rsidRPr="00C734AF" w:rsidRDefault="00E0396B" w:rsidP="00FE689C">
      <w:pPr>
        <w:tabs>
          <w:tab w:val="left" w:pos="1134"/>
        </w:tabs>
        <w:jc w:val="both"/>
        <w:rPr>
          <w:rFonts w:ascii="Times New Roman" w:hAnsi="Times New Roman"/>
          <w:b/>
          <w:sz w:val="24"/>
          <w:szCs w:val="24"/>
        </w:rPr>
      </w:pPr>
      <w:r w:rsidRPr="00C734AF">
        <w:rPr>
          <w:rFonts w:ascii="Times New Roman" w:hAnsi="Times New Roman"/>
          <w:b/>
          <w:sz w:val="24"/>
          <w:szCs w:val="24"/>
        </w:rPr>
        <w:t>Article 9</w:t>
      </w:r>
      <w:r w:rsidRPr="00C734AF">
        <w:rPr>
          <w:rFonts w:ascii="Times New Roman" w:hAnsi="Times New Roman"/>
          <w:b/>
          <w:sz w:val="24"/>
          <w:szCs w:val="24"/>
        </w:rPr>
        <w:tab/>
        <w:t xml:space="preserve">General </w:t>
      </w:r>
      <w:r w:rsidR="00B2529B" w:rsidRPr="00C734AF">
        <w:rPr>
          <w:rFonts w:ascii="Times New Roman" w:hAnsi="Times New Roman"/>
          <w:b/>
          <w:sz w:val="24"/>
          <w:szCs w:val="24"/>
        </w:rPr>
        <w:t>o</w:t>
      </w:r>
      <w:r w:rsidRPr="00C734AF">
        <w:rPr>
          <w:rFonts w:ascii="Times New Roman" w:hAnsi="Times New Roman"/>
          <w:b/>
          <w:sz w:val="24"/>
          <w:szCs w:val="24"/>
        </w:rPr>
        <w:t>bligations</w:t>
      </w:r>
    </w:p>
    <w:p w:rsidR="00E0396B" w:rsidRPr="003D6B6C" w:rsidRDefault="00E0396B" w:rsidP="007973AB">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0014BF">
        <w:rPr>
          <w:rFonts w:ascii="Times New Roman" w:hAnsi="Times New Roman"/>
          <w:sz w:val="22"/>
          <w:szCs w:val="22"/>
        </w:rPr>
        <w:t xml:space="preserve">The Contractor </w:t>
      </w:r>
      <w:r w:rsidR="00C6268F">
        <w:rPr>
          <w:rFonts w:ascii="Times New Roman" w:hAnsi="Times New Roman"/>
          <w:sz w:val="22"/>
          <w:szCs w:val="22"/>
        </w:rPr>
        <w:t>shall take the necessary measures to ensure visibility of the European Union financing or co-financing. These activities must comply with the rules laid down in the Communication and Visibility Manual for EU External Actions published on the website of DG International Cooperation and Development:</w:t>
      </w:r>
      <w:hyperlink r:id="rId8" w:history="1">
        <w:r w:rsidR="009B71DF" w:rsidRPr="00AF7F07">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r w:rsidR="00C6268F">
        <w:rPr>
          <w:rFonts w:ascii="Times New Roman" w:hAnsi="Times New Roman"/>
          <w:sz w:val="22"/>
          <w:szCs w:val="22"/>
        </w:rPr>
        <w:t>.</w:t>
      </w:r>
    </w:p>
    <w:p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rsidR="0047783A"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F5730A" w:rsidRPr="00180E20">
        <w:rPr>
          <w:rFonts w:ascii="Times New Roman" w:hAnsi="Times New Roman"/>
          <w:sz w:val="22"/>
          <w:szCs w:val="22"/>
        </w:rPr>
        <w:t xml:space="preserve">All supplies under this contract may </w:t>
      </w:r>
      <w:r w:rsidR="00F5730A" w:rsidRPr="00180E20">
        <w:rPr>
          <w:rFonts w:ascii="Times New Roman" w:eastAsia="Calibri" w:hAnsi="Times New Roman"/>
          <w:noProof/>
          <w:sz w:val="22"/>
          <w:szCs w:val="22"/>
        </w:rPr>
        <w:t>originate from any country.</w:t>
      </w:r>
    </w:p>
    <w:p w:rsidR="00885C54" w:rsidRPr="003D6B6C" w:rsidRDefault="00885C54" w:rsidP="00885C54">
      <w:pPr>
        <w:spacing w:before="240"/>
        <w:ind w:left="1134" w:hanging="1134"/>
        <w:jc w:val="both"/>
        <w:rPr>
          <w:rFonts w:ascii="Times New Roman" w:hAnsi="Times New Roman"/>
          <w:b/>
          <w:sz w:val="24"/>
          <w:szCs w:val="24"/>
        </w:rPr>
      </w:pPr>
      <w:bookmarkStart w:id="5"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rsidR="00885C54" w:rsidRPr="003D6B6C" w:rsidRDefault="00885C54" w:rsidP="00885C5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Pr="00885C54">
        <w:rPr>
          <w:rFonts w:ascii="Times New Roman" w:hAnsi="Times New Roman"/>
          <w:sz w:val="22"/>
          <w:szCs w:val="22"/>
        </w:rPr>
        <w:t>No performance guarantee is required.</w:t>
      </w:r>
    </w:p>
    <w:p w:rsidR="004D33C9" w:rsidRPr="00091B78" w:rsidRDefault="0047783A" w:rsidP="00091B78">
      <w:pPr>
        <w:spacing w:before="240"/>
        <w:ind w:left="1134" w:hanging="1134"/>
        <w:jc w:val="both"/>
        <w:rPr>
          <w:rFonts w:ascii="Times New Roman" w:hAnsi="Times New Roman"/>
          <w:b/>
          <w:sz w:val="24"/>
          <w:szCs w:val="24"/>
        </w:rPr>
      </w:pPr>
      <w:bookmarkStart w:id="6" w:name="_Toc124934902"/>
      <w:r w:rsidRPr="00B76CB1">
        <w:rPr>
          <w:rFonts w:ascii="Times New Roman" w:hAnsi="Times New Roman"/>
          <w:b/>
          <w:sz w:val="24"/>
          <w:szCs w:val="24"/>
        </w:rPr>
        <w:t>Article 12</w:t>
      </w:r>
      <w:r w:rsidRPr="00B76CB1">
        <w:rPr>
          <w:rFonts w:ascii="Times New Roman" w:hAnsi="Times New Roman"/>
          <w:b/>
          <w:sz w:val="24"/>
          <w:szCs w:val="24"/>
        </w:rPr>
        <w:tab/>
      </w:r>
      <w:r w:rsidR="004D33C9" w:rsidRPr="00B76CB1">
        <w:rPr>
          <w:rFonts w:ascii="Times New Roman" w:hAnsi="Times New Roman"/>
          <w:b/>
          <w:sz w:val="24"/>
          <w:szCs w:val="24"/>
        </w:rPr>
        <w:t xml:space="preserve">Liabilities and </w:t>
      </w:r>
      <w:r w:rsidR="00B2529B" w:rsidRPr="00B76CB1">
        <w:rPr>
          <w:rFonts w:ascii="Times New Roman" w:hAnsi="Times New Roman"/>
          <w:b/>
          <w:sz w:val="24"/>
          <w:szCs w:val="24"/>
        </w:rPr>
        <w:t>i</w:t>
      </w:r>
      <w:r w:rsidRPr="00B76CB1">
        <w:rPr>
          <w:rFonts w:ascii="Times New Roman" w:hAnsi="Times New Roman"/>
          <w:b/>
          <w:sz w:val="24"/>
          <w:szCs w:val="24"/>
        </w:rPr>
        <w:t>nsurance</w:t>
      </w:r>
      <w:bookmarkEnd w:id="6"/>
    </w:p>
    <w:p w:rsidR="00885C54" w:rsidRPr="003D6B6C" w:rsidRDefault="00885C54" w:rsidP="00885C54">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ab/>
      </w:r>
      <w:r w:rsidRPr="00091B78">
        <w:rPr>
          <w:rFonts w:ascii="Times New Roman" w:hAnsi="Times New Roman"/>
          <w:sz w:val="22"/>
          <w:szCs w:val="22"/>
        </w:rPr>
        <w:t xml:space="preserve">‘By way of derogation from Article 12.1(a), paragraph 2, of the general conditions, compensation for damage to the supplies resulting from the contractor's liability in respect of the contracting authority is capped at an amount equal to </w:t>
      </w:r>
      <w:r w:rsidR="00091B78" w:rsidRPr="00091B78">
        <w:rPr>
          <w:rFonts w:ascii="Times New Roman" w:hAnsi="Times New Roman"/>
          <w:sz w:val="22"/>
          <w:szCs w:val="22"/>
        </w:rPr>
        <w:t>10</w:t>
      </w:r>
      <w:r w:rsidR="00491439">
        <w:rPr>
          <w:rFonts w:ascii="Times New Roman" w:hAnsi="Times New Roman"/>
          <w:sz w:val="22"/>
          <w:szCs w:val="22"/>
        </w:rPr>
        <w:t>0</w:t>
      </w:r>
      <w:r w:rsidR="00091B78" w:rsidRPr="00091B78">
        <w:rPr>
          <w:rFonts w:ascii="Times New Roman" w:hAnsi="Times New Roman"/>
          <w:sz w:val="22"/>
          <w:szCs w:val="22"/>
        </w:rPr>
        <w:t xml:space="preserve">% </w:t>
      </w:r>
      <w:r w:rsidRPr="00091B78">
        <w:rPr>
          <w:rFonts w:ascii="Times New Roman" w:hAnsi="Times New Roman"/>
          <w:sz w:val="22"/>
          <w:szCs w:val="22"/>
        </w:rPr>
        <w:t>of the contract value.’</w:t>
      </w:r>
    </w:p>
    <w:p w:rsidR="00885C54" w:rsidRPr="003D6B6C" w:rsidRDefault="00885C54" w:rsidP="00885C54">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091B78">
        <w:rPr>
          <w:rFonts w:ascii="Times New Roman" w:hAnsi="Times New Roman"/>
          <w:sz w:val="22"/>
          <w:szCs w:val="22"/>
        </w:rPr>
        <w:t xml:space="preserve">‘By way of derogation from Article 12.1(b), paragraph 2, of the general conditions, compensation for damage resulting from the contractor's liability in respect of the contracting authority is capped at an amount equal to </w:t>
      </w:r>
      <w:r w:rsidR="00091B78">
        <w:rPr>
          <w:rFonts w:ascii="Times New Roman" w:hAnsi="Times New Roman"/>
          <w:sz w:val="22"/>
          <w:szCs w:val="22"/>
        </w:rPr>
        <w:t>100% of the</w:t>
      </w:r>
      <w:r w:rsidRPr="00091B78">
        <w:rPr>
          <w:rFonts w:ascii="Times New Roman" w:hAnsi="Times New Roman"/>
          <w:sz w:val="22"/>
          <w:szCs w:val="22"/>
        </w:rPr>
        <w:t xml:space="preserve"> contract value.’</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A09DC">
        <w:rPr>
          <w:rFonts w:ascii="Times New Roman" w:hAnsi="Times New Roman"/>
          <w:sz w:val="22"/>
          <w:szCs w:val="22"/>
        </w:rPr>
        <w:t>The European Commi</w:t>
      </w:r>
      <w:r w:rsidR="009835C0">
        <w:rPr>
          <w:rFonts w:ascii="Times New Roman" w:hAnsi="Times New Roman"/>
          <w:sz w:val="22"/>
          <w:szCs w:val="22"/>
        </w:rPr>
        <w:t>s</w:t>
      </w:r>
      <w:r w:rsidR="009A09DC">
        <w:rPr>
          <w:rFonts w:ascii="Times New Roman" w:hAnsi="Times New Roman"/>
          <w:sz w:val="22"/>
          <w:szCs w:val="22"/>
        </w:rPr>
        <w:t>sion and the Republic of Serbia have agreed in the Framework Agreement signed on 29/11/2007 to fully exonerate the follo</w:t>
      </w:r>
      <w:r w:rsidR="006647F5">
        <w:rPr>
          <w:rFonts w:ascii="Times New Roman" w:hAnsi="Times New Roman"/>
          <w:sz w:val="22"/>
          <w:szCs w:val="22"/>
        </w:rPr>
        <w:t>w</w:t>
      </w:r>
      <w:r w:rsidR="009A09DC">
        <w:rPr>
          <w:rFonts w:ascii="Times New Roman" w:hAnsi="Times New Roman"/>
          <w:sz w:val="22"/>
          <w:szCs w:val="22"/>
        </w:rPr>
        <w:t xml:space="preserve">ing </w:t>
      </w:r>
      <w:r w:rsidR="006647F5">
        <w:rPr>
          <w:rFonts w:ascii="Times New Roman" w:hAnsi="Times New Roman"/>
          <w:sz w:val="22"/>
          <w:szCs w:val="22"/>
        </w:rPr>
        <w:t>taxes: custom duties, import duties, taxes or fiscal charges in connecti</w:t>
      </w:r>
      <w:r w:rsidR="00CF18A5">
        <w:rPr>
          <w:rFonts w:ascii="Times New Roman" w:hAnsi="Times New Roman"/>
          <w:sz w:val="22"/>
          <w:szCs w:val="22"/>
        </w:rPr>
        <w:t>on with import, value added tax</w:t>
      </w:r>
      <w:r w:rsidR="006647F5">
        <w:rPr>
          <w:rFonts w:ascii="Times New Roman" w:hAnsi="Times New Roman"/>
          <w:sz w:val="22"/>
          <w:szCs w:val="22"/>
        </w:rPr>
        <w:t xml:space="preserve">, documentary stamp or registration duties or fiscal charges having an equivalent effect. </w:t>
      </w:r>
    </w:p>
    <w:p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rsidR="008571DE" w:rsidRPr="00711626" w:rsidRDefault="0047783A" w:rsidP="00711626">
      <w:pPr>
        <w:ind w:left="1134" w:hanging="709"/>
        <w:jc w:val="both"/>
        <w:rPr>
          <w:rFonts w:ascii="Times New Roman" w:hAnsi="Times New Roman"/>
          <w:b/>
          <w:sz w:val="22"/>
          <w:szCs w:val="22"/>
          <w:lang w:val="sv-SE"/>
        </w:rPr>
      </w:pPr>
      <w:r w:rsidRPr="003D6B6C">
        <w:rPr>
          <w:rFonts w:ascii="Times New Roman" w:hAnsi="Times New Roman"/>
          <w:sz w:val="22"/>
          <w:szCs w:val="22"/>
        </w:rPr>
        <w:t>18.1</w:t>
      </w:r>
      <w:r w:rsidRPr="003D6B6C">
        <w:rPr>
          <w:rFonts w:ascii="Times New Roman" w:hAnsi="Times New Roman"/>
          <w:b/>
          <w:sz w:val="22"/>
          <w:szCs w:val="22"/>
        </w:rPr>
        <w:tab/>
      </w:r>
      <w:r w:rsidR="008571DE" w:rsidRPr="008571DE">
        <w:rPr>
          <w:rFonts w:ascii="Times New Roman" w:hAnsi="Times New Roman"/>
          <w:sz w:val="22"/>
          <w:szCs w:val="22"/>
          <w:lang w:val="sv-SE"/>
        </w:rPr>
        <w:t xml:space="preserve">The </w:t>
      </w:r>
      <w:r w:rsidR="00711626">
        <w:rPr>
          <w:rFonts w:ascii="Times New Roman" w:hAnsi="Times New Roman"/>
          <w:sz w:val="22"/>
          <w:szCs w:val="22"/>
          <w:lang w:val="sv-SE"/>
        </w:rPr>
        <w:t xml:space="preserve">implementation of tasks </w:t>
      </w:r>
      <w:r w:rsidR="008571DE" w:rsidRPr="008571DE">
        <w:rPr>
          <w:rFonts w:ascii="Times New Roman" w:hAnsi="Times New Roman"/>
          <w:sz w:val="22"/>
          <w:szCs w:val="22"/>
          <w:lang w:val="sv-SE"/>
        </w:rPr>
        <w:t>shall</w:t>
      </w:r>
      <w:r w:rsidR="00711626">
        <w:rPr>
          <w:rFonts w:ascii="Times New Roman" w:hAnsi="Times New Roman"/>
          <w:sz w:val="22"/>
          <w:szCs w:val="22"/>
          <w:lang w:val="sv-SE"/>
        </w:rPr>
        <w:t xml:space="preserve"> commence on the day following the</w:t>
      </w:r>
      <w:r w:rsidR="008571DE" w:rsidRPr="008571DE">
        <w:rPr>
          <w:rFonts w:ascii="Times New Roman" w:hAnsi="Times New Roman"/>
          <w:sz w:val="22"/>
          <w:szCs w:val="22"/>
          <w:lang w:val="sv-SE"/>
        </w:rPr>
        <w:t xml:space="preserve"> </w:t>
      </w:r>
      <w:r w:rsidR="00B76CB1" w:rsidRPr="00B76CB1">
        <w:rPr>
          <w:rFonts w:ascii="Times New Roman" w:hAnsi="Times New Roman"/>
          <w:sz w:val="22"/>
          <w:szCs w:val="22"/>
          <w:lang w:val="sv-SE"/>
        </w:rPr>
        <w:t xml:space="preserve">date when the second of the two contracting parties sign. </w:t>
      </w:r>
    </w:p>
    <w:p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rsidR="0047783A" w:rsidRPr="007A1556" w:rsidRDefault="0047783A" w:rsidP="005D03AA">
      <w:pPr>
        <w:ind w:left="1134" w:hanging="709"/>
        <w:jc w:val="both"/>
        <w:rPr>
          <w:rFonts w:ascii="Times New Roman" w:hAnsi="Times New Roman"/>
          <w:color w:val="FF0000"/>
          <w:sz w:val="22"/>
          <w:szCs w:val="22"/>
        </w:rPr>
      </w:pPr>
      <w:r w:rsidRPr="00C734AF">
        <w:rPr>
          <w:rFonts w:ascii="Times New Roman" w:hAnsi="Times New Roman"/>
          <w:sz w:val="22"/>
          <w:szCs w:val="22"/>
        </w:rPr>
        <w:t>19.1</w:t>
      </w:r>
      <w:r w:rsidRPr="007A1556">
        <w:rPr>
          <w:rFonts w:ascii="Times New Roman" w:hAnsi="Times New Roman"/>
          <w:color w:val="FF0000"/>
          <w:sz w:val="22"/>
          <w:szCs w:val="22"/>
        </w:rPr>
        <w:tab/>
      </w:r>
      <w:r w:rsidR="00C734AF" w:rsidRPr="0098537E">
        <w:rPr>
          <w:rFonts w:ascii="Times New Roman" w:hAnsi="Times New Roman"/>
          <w:sz w:val="22"/>
          <w:szCs w:val="22"/>
          <w:lang w:val="en-US"/>
        </w:rPr>
        <w:t xml:space="preserve">The implementation period </w:t>
      </w:r>
      <w:r w:rsidR="00711626">
        <w:rPr>
          <w:rFonts w:ascii="Times New Roman" w:hAnsi="Times New Roman"/>
          <w:sz w:val="22"/>
          <w:szCs w:val="22"/>
          <w:lang w:val="en-US"/>
        </w:rPr>
        <w:t xml:space="preserve">of the tasks </w:t>
      </w:r>
      <w:r w:rsidR="00C734AF" w:rsidRPr="0098537E">
        <w:rPr>
          <w:rFonts w:ascii="Times New Roman" w:hAnsi="Times New Roman"/>
          <w:sz w:val="22"/>
          <w:szCs w:val="22"/>
          <w:lang w:val="en-US"/>
        </w:rPr>
        <w:t xml:space="preserve">shall be </w:t>
      </w:r>
      <w:r w:rsidR="00711626">
        <w:rPr>
          <w:rFonts w:ascii="Times New Roman" w:hAnsi="Times New Roman"/>
          <w:sz w:val="22"/>
          <w:szCs w:val="22"/>
          <w:lang w:val="en-US"/>
        </w:rPr>
        <w:t>2 months in calendar days from the date stipulated in article 18.1</w:t>
      </w:r>
      <w:r w:rsidR="00C734AF" w:rsidRPr="0098537E">
        <w:rPr>
          <w:rFonts w:ascii="Times New Roman" w:hAnsi="Times New Roman"/>
          <w:sz w:val="22"/>
          <w:szCs w:val="22"/>
          <w:lang w:val="en-US"/>
        </w:rPr>
        <w:t>.</w:t>
      </w:r>
    </w:p>
    <w:p w:rsidR="0047783A" w:rsidRDefault="0047783A" w:rsidP="00B34179">
      <w:pPr>
        <w:spacing w:before="240"/>
        <w:ind w:left="1134" w:hanging="1134"/>
        <w:jc w:val="both"/>
        <w:rPr>
          <w:rFonts w:ascii="Times New Roman" w:hAnsi="Times New Roman"/>
          <w:b/>
          <w:sz w:val="24"/>
          <w:szCs w:val="24"/>
        </w:rPr>
      </w:pPr>
      <w:bookmarkStart w:id="9"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9"/>
    </w:p>
    <w:p w:rsidR="008B1180" w:rsidRPr="008B1180" w:rsidRDefault="008B1180" w:rsidP="00775BB4">
      <w:pPr>
        <w:ind w:left="1134" w:hanging="709"/>
        <w:jc w:val="both"/>
        <w:rPr>
          <w:rFonts w:ascii="Times New Roman" w:hAnsi="Times New Roman"/>
          <w:color w:val="FF0000"/>
          <w:sz w:val="22"/>
          <w:szCs w:val="22"/>
        </w:rPr>
      </w:pPr>
      <w:r>
        <w:rPr>
          <w:rFonts w:ascii="Times New Roman" w:hAnsi="Times New Roman"/>
          <w:sz w:val="22"/>
          <w:szCs w:val="22"/>
        </w:rPr>
        <w:t>24.</w:t>
      </w:r>
      <w:r w:rsidR="00775BB4">
        <w:rPr>
          <w:rFonts w:ascii="Times New Roman" w:hAnsi="Times New Roman"/>
          <w:sz w:val="22"/>
          <w:szCs w:val="22"/>
        </w:rPr>
        <w:t>2</w:t>
      </w:r>
      <w:r w:rsidR="0047783A" w:rsidRPr="003D6B6C">
        <w:rPr>
          <w:rFonts w:ascii="Times New Roman" w:hAnsi="Times New Roman"/>
          <w:sz w:val="22"/>
          <w:szCs w:val="22"/>
        </w:rPr>
        <w:tab/>
      </w:r>
      <w:r w:rsidRPr="00671BE6">
        <w:rPr>
          <w:rFonts w:ascii="Times New Roman" w:hAnsi="Times New Roman"/>
          <w:sz w:val="22"/>
          <w:szCs w:val="22"/>
        </w:rPr>
        <w:t>No preliminary t</w:t>
      </w:r>
      <w:r w:rsidR="00671BE6" w:rsidRPr="00671BE6">
        <w:rPr>
          <w:rFonts w:ascii="Times New Roman" w:hAnsi="Times New Roman"/>
          <w:sz w:val="22"/>
          <w:szCs w:val="22"/>
        </w:rPr>
        <w:t>echnical acceptance is required.</w:t>
      </w:r>
      <w:r w:rsidRPr="008B1180">
        <w:rPr>
          <w:color w:val="FF0000"/>
        </w:rPr>
        <w:tab/>
      </w:r>
    </w:p>
    <w:p w:rsidR="0047783A" w:rsidRPr="003D6B6C" w:rsidRDefault="0047783A" w:rsidP="00B34179">
      <w:pPr>
        <w:spacing w:before="240"/>
        <w:ind w:left="1134" w:hanging="1134"/>
        <w:jc w:val="both"/>
        <w:rPr>
          <w:rFonts w:ascii="Times New Roman" w:hAnsi="Times New Roman"/>
          <w:b/>
          <w:sz w:val="24"/>
          <w:szCs w:val="24"/>
        </w:rPr>
      </w:pPr>
      <w:bookmarkStart w:id="10"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0"/>
    </w:p>
    <w:p w:rsidR="0047783A" w:rsidRPr="00561F8A" w:rsidRDefault="005B0129" w:rsidP="00775BB4">
      <w:pPr>
        <w:ind w:left="1134" w:hanging="709"/>
        <w:jc w:val="both"/>
        <w:rPr>
          <w:rFonts w:ascii="Times New Roman" w:hAnsi="Times New Roman"/>
          <w:sz w:val="22"/>
          <w:szCs w:val="22"/>
        </w:rPr>
      </w:pPr>
      <w:r w:rsidRPr="003D6B6C">
        <w:rPr>
          <w:rFonts w:ascii="Times New Roman" w:hAnsi="Times New Roman"/>
          <w:bCs/>
          <w:sz w:val="22"/>
          <w:szCs w:val="22"/>
        </w:rPr>
        <w:t>25.</w:t>
      </w:r>
      <w:r w:rsidR="00561F8A">
        <w:rPr>
          <w:rFonts w:ascii="Times New Roman" w:hAnsi="Times New Roman"/>
          <w:bCs/>
          <w:sz w:val="22"/>
          <w:szCs w:val="22"/>
        </w:rPr>
        <w:t>1</w:t>
      </w:r>
      <w:r w:rsidRPr="003D6B6C">
        <w:rPr>
          <w:rFonts w:ascii="Times New Roman" w:hAnsi="Times New Roman"/>
          <w:bCs/>
          <w:sz w:val="22"/>
          <w:szCs w:val="22"/>
        </w:rPr>
        <w:tab/>
      </w:r>
      <w:r w:rsidR="00561F8A" w:rsidRPr="00561F8A">
        <w:rPr>
          <w:rFonts w:ascii="Times New Roman" w:hAnsi="Times New Roman"/>
          <w:sz w:val="22"/>
          <w:szCs w:val="22"/>
        </w:rPr>
        <w:t xml:space="preserve">Inspection will take place upon </w:t>
      </w:r>
      <w:r w:rsidR="0072764B">
        <w:rPr>
          <w:rFonts w:ascii="Times New Roman" w:hAnsi="Times New Roman"/>
          <w:sz w:val="22"/>
          <w:szCs w:val="22"/>
        </w:rPr>
        <w:t>delivery</w:t>
      </w:r>
      <w:r w:rsidR="00561F8A" w:rsidRPr="00561F8A">
        <w:rPr>
          <w:rFonts w:ascii="Times New Roman" w:hAnsi="Times New Roman"/>
          <w:sz w:val="22"/>
          <w:szCs w:val="22"/>
        </w:rPr>
        <w:t xml:space="preserve"> </w:t>
      </w:r>
      <w:r w:rsidR="0072764B">
        <w:rPr>
          <w:rFonts w:ascii="Times New Roman" w:hAnsi="Times New Roman"/>
          <w:sz w:val="22"/>
          <w:szCs w:val="22"/>
        </w:rPr>
        <w:t xml:space="preserve">of goods </w:t>
      </w:r>
      <w:r w:rsidR="00561F8A" w:rsidRPr="00561F8A">
        <w:rPr>
          <w:rFonts w:ascii="Times New Roman" w:hAnsi="Times New Roman"/>
          <w:sz w:val="22"/>
          <w:szCs w:val="22"/>
        </w:rPr>
        <w:t xml:space="preserve">at </w:t>
      </w:r>
      <w:r w:rsidR="00775BB4">
        <w:rPr>
          <w:rFonts w:ascii="Times New Roman" w:hAnsi="Times New Roman"/>
          <w:sz w:val="22"/>
          <w:szCs w:val="22"/>
        </w:rPr>
        <w:t>the ad</w:t>
      </w:r>
      <w:r w:rsidR="00F5730A">
        <w:rPr>
          <w:rFonts w:ascii="Times New Roman" w:hAnsi="Times New Roman"/>
          <w:sz w:val="22"/>
          <w:szCs w:val="22"/>
        </w:rPr>
        <w:t>d</w:t>
      </w:r>
      <w:r w:rsidR="00775BB4">
        <w:rPr>
          <w:rFonts w:ascii="Times New Roman" w:hAnsi="Times New Roman"/>
          <w:sz w:val="22"/>
          <w:szCs w:val="22"/>
        </w:rPr>
        <w:t xml:space="preserve">ress of the contracting authority in accordance with the </w:t>
      </w:r>
      <w:r w:rsidR="00561F8A" w:rsidRPr="00561F8A">
        <w:rPr>
          <w:rFonts w:ascii="Times New Roman" w:hAnsi="Times New Roman"/>
          <w:sz w:val="22"/>
          <w:szCs w:val="22"/>
        </w:rPr>
        <w:t>Article 25 of the General Conditions</w:t>
      </w:r>
      <w:r w:rsidR="00561F8A">
        <w:rPr>
          <w:rFonts w:ascii="Times New Roman" w:hAnsi="Times New Roman"/>
          <w:sz w:val="22"/>
          <w:szCs w:val="22"/>
        </w:rPr>
        <w:t xml:space="preserve">. </w:t>
      </w:r>
    </w:p>
    <w:p w:rsidR="0047783A" w:rsidRPr="003D6B6C" w:rsidRDefault="0047783A" w:rsidP="00B34179">
      <w:pPr>
        <w:spacing w:before="240"/>
        <w:ind w:left="1134" w:hanging="1134"/>
        <w:jc w:val="both"/>
        <w:rPr>
          <w:rFonts w:ascii="Times New Roman" w:hAnsi="Times New Roman"/>
          <w:b/>
          <w:sz w:val="24"/>
          <w:szCs w:val="24"/>
        </w:rPr>
      </w:pPr>
      <w:bookmarkStart w:id="1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1"/>
      <w:r w:rsidR="005B0129" w:rsidRPr="003D6B6C">
        <w:rPr>
          <w:rFonts w:ascii="Times New Roman" w:hAnsi="Times New Roman"/>
          <w:b/>
          <w:sz w:val="24"/>
          <w:szCs w:val="24"/>
        </w:rPr>
        <w:t>General principles for payments</w:t>
      </w:r>
    </w:p>
    <w:p w:rsidR="00F5730A" w:rsidRPr="003D6B6C" w:rsidRDefault="0047783A" w:rsidP="00F5730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CF18A5" w:rsidRPr="00671BE6">
        <w:rPr>
          <w:rFonts w:ascii="Times New Roman" w:hAnsi="Times New Roman"/>
          <w:sz w:val="22"/>
          <w:szCs w:val="22"/>
        </w:rPr>
        <w:t>RSD.</w:t>
      </w:r>
      <w:r w:rsidR="00F5730A">
        <w:rPr>
          <w:rFonts w:ascii="Times New Roman" w:hAnsi="Times New Roman"/>
          <w:sz w:val="22"/>
          <w:szCs w:val="22"/>
        </w:rPr>
        <w:t xml:space="preserve"> </w:t>
      </w:r>
      <w:r w:rsidR="00F5730A" w:rsidRPr="002B6596">
        <w:rPr>
          <w:rFonts w:ascii="Times New Roman" w:hAnsi="Times New Roman"/>
          <w:sz w:val="22"/>
          <w:szCs w:val="22"/>
        </w:rPr>
        <w:t>The exchange rate to be used for invoicing shall be in accordance wi</w:t>
      </w:r>
      <w:r w:rsidR="00F5730A">
        <w:rPr>
          <w:rFonts w:ascii="Times New Roman" w:hAnsi="Times New Roman"/>
          <w:sz w:val="22"/>
          <w:szCs w:val="22"/>
        </w:rPr>
        <w:t>th the National Bank of Serbia</w:t>
      </w:r>
      <w:r w:rsidR="00F5730A" w:rsidRPr="002B6596">
        <w:rPr>
          <w:rFonts w:ascii="Times New Roman" w:hAnsi="Times New Roman"/>
          <w:sz w:val="22"/>
          <w:szCs w:val="22"/>
        </w:rPr>
        <w:t xml:space="preserve"> </w:t>
      </w:r>
      <w:r w:rsidR="00F5730A">
        <w:rPr>
          <w:rFonts w:ascii="Times New Roman" w:hAnsi="Times New Roman"/>
          <w:sz w:val="22"/>
          <w:szCs w:val="22"/>
        </w:rPr>
        <w:t>official middle</w:t>
      </w:r>
      <w:r w:rsidR="00F5730A" w:rsidRPr="002B6596">
        <w:rPr>
          <w:rFonts w:ascii="Times New Roman" w:hAnsi="Times New Roman"/>
          <w:sz w:val="22"/>
          <w:szCs w:val="22"/>
        </w:rPr>
        <w:t xml:space="preserve"> exchange rate </w:t>
      </w:r>
      <w:r w:rsidR="00F5730A">
        <w:rPr>
          <w:rFonts w:ascii="Times New Roman" w:hAnsi="Times New Roman"/>
          <w:sz w:val="22"/>
          <w:szCs w:val="22"/>
        </w:rPr>
        <w:t>for foreign exchange (“exchange rate list – official middle</w:t>
      </w:r>
      <w:r w:rsidR="00F5730A" w:rsidRPr="002B6596">
        <w:rPr>
          <w:rFonts w:ascii="Times New Roman" w:hAnsi="Times New Roman"/>
          <w:sz w:val="22"/>
          <w:szCs w:val="22"/>
        </w:rPr>
        <w:t xml:space="preserve"> </w:t>
      </w:r>
      <w:r w:rsidR="00F5730A">
        <w:rPr>
          <w:rFonts w:ascii="Times New Roman" w:hAnsi="Times New Roman"/>
          <w:sz w:val="22"/>
          <w:szCs w:val="22"/>
        </w:rPr>
        <w:t xml:space="preserve">RSD </w:t>
      </w:r>
      <w:r w:rsidR="00F5730A" w:rsidRPr="002B6596">
        <w:rPr>
          <w:rFonts w:ascii="Times New Roman" w:hAnsi="Times New Roman"/>
          <w:sz w:val="22"/>
          <w:szCs w:val="22"/>
        </w:rPr>
        <w:t>exchange rate</w:t>
      </w:r>
      <w:r w:rsidR="00F5730A">
        <w:rPr>
          <w:rFonts w:ascii="Times New Roman" w:hAnsi="Times New Roman"/>
          <w:sz w:val="22"/>
          <w:szCs w:val="22"/>
        </w:rPr>
        <w:t xml:space="preserve">”) </w:t>
      </w:r>
      <w:r w:rsidR="00F5730A" w:rsidRPr="002B6596">
        <w:rPr>
          <w:rFonts w:ascii="Times New Roman" w:hAnsi="Times New Roman"/>
          <w:sz w:val="22"/>
          <w:szCs w:val="22"/>
        </w:rPr>
        <w:t xml:space="preserve">(EUR/RSD) </w:t>
      </w:r>
      <w:r w:rsidR="00F5730A" w:rsidRPr="00943035">
        <w:rPr>
          <w:rFonts w:ascii="Times New Roman" w:hAnsi="Times New Roman"/>
          <w:sz w:val="22"/>
          <w:szCs w:val="22"/>
        </w:rPr>
        <w:t>on the date of invoicing.</w:t>
      </w:r>
    </w:p>
    <w:p w:rsidR="00C734AF" w:rsidRDefault="00C734AF" w:rsidP="00C734A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F405FD">
        <w:rPr>
          <w:rFonts w:ascii="Times New Roman" w:hAnsi="Times New Roman"/>
          <w:sz w:val="22"/>
          <w:szCs w:val="22"/>
        </w:rPr>
        <w:t>Pre-financing is not applicable to this contract</w:t>
      </w:r>
      <w:r w:rsidR="00C377CF">
        <w:rPr>
          <w:rFonts w:ascii="Times New Roman" w:hAnsi="Times New Roman"/>
          <w:sz w:val="22"/>
          <w:szCs w:val="22"/>
        </w:rPr>
        <w:t>.</w:t>
      </w:r>
    </w:p>
    <w:p w:rsidR="000B3A25" w:rsidRDefault="000B3A25" w:rsidP="000B3A25">
      <w:pPr>
        <w:ind w:left="1134"/>
        <w:jc w:val="both"/>
        <w:rPr>
          <w:rFonts w:ascii="Times New Roman" w:hAnsi="Times New Roman"/>
          <w:sz w:val="22"/>
          <w:szCs w:val="22"/>
        </w:rPr>
      </w:pPr>
      <w:r w:rsidRPr="000B3A25">
        <w:rPr>
          <w:rFonts w:ascii="Times New Roman" w:hAnsi="Times New Roman"/>
          <w:sz w:val="22"/>
          <w:szCs w:val="22"/>
        </w:rPr>
        <w:t xml:space="preserve">Payments shall be authorised and made by the </w:t>
      </w:r>
      <w:r w:rsidRPr="000B3A25">
        <w:rPr>
          <w:rFonts w:ascii="Times New Roman" w:hAnsi="Times New Roman"/>
          <w:b/>
          <w:bCs/>
          <w:sz w:val="22"/>
          <w:szCs w:val="22"/>
        </w:rPr>
        <w:t>Depart</w:t>
      </w:r>
      <w:bookmarkStart w:id="12" w:name="_GoBack"/>
      <w:bookmarkEnd w:id="12"/>
      <w:r w:rsidRPr="000B3A25">
        <w:rPr>
          <w:rFonts w:ascii="Times New Roman" w:hAnsi="Times New Roman"/>
          <w:b/>
          <w:bCs/>
          <w:sz w:val="22"/>
          <w:szCs w:val="22"/>
        </w:rPr>
        <w:t xml:space="preserve">ment for financial-material operations – Commissariat for refugees and migration </w:t>
      </w:r>
      <w:r w:rsidRPr="000B3A25">
        <w:rPr>
          <w:rFonts w:ascii="Times New Roman" w:hAnsi="Times New Roman"/>
          <w:sz w:val="22"/>
          <w:szCs w:val="22"/>
        </w:rPr>
        <w:t>(„Odsek za finansijsko materijalne poslove – Komesarijat za izbeglice i migracije, Narodnih heroja 4, 11070 Belgrade, Serbia.</w:t>
      </w:r>
    </w:p>
    <w:p w:rsidR="00CA05C9" w:rsidRDefault="00CA05C9" w:rsidP="00CA05C9">
      <w:pPr>
        <w:ind w:left="1134" w:hanging="708"/>
        <w:jc w:val="both"/>
        <w:rPr>
          <w:rFonts w:ascii="Times New Roman" w:hAnsi="Times New Roman"/>
          <w:sz w:val="22"/>
          <w:szCs w:val="22"/>
        </w:rPr>
      </w:pPr>
      <w:r>
        <w:rPr>
          <w:rFonts w:ascii="Times New Roman" w:hAnsi="Times New Roman"/>
          <w:sz w:val="22"/>
          <w:szCs w:val="22"/>
        </w:rPr>
        <w:t xml:space="preserve">26.2     </w:t>
      </w:r>
      <w:r>
        <w:rPr>
          <w:rFonts w:ascii="Times New Roman" w:hAnsi="Times New Roman"/>
          <w:sz w:val="22"/>
          <w:szCs w:val="22"/>
        </w:rPr>
        <w:tab/>
      </w:r>
      <w:r w:rsidRPr="000B3A25">
        <w:rPr>
          <w:rFonts w:ascii="Times New Roman" w:hAnsi="Times New Roman"/>
          <w:sz w:val="22"/>
          <w:szCs w:val="22"/>
        </w:rPr>
        <w:t xml:space="preserve">The payments shall be made to the bank account mentioned on the financial identification form completed by the Contractor. </w:t>
      </w:r>
    </w:p>
    <w:p w:rsidR="00CA05C9" w:rsidRDefault="00CA05C9" w:rsidP="00CA05C9">
      <w:pPr>
        <w:ind w:left="1134" w:hanging="708"/>
        <w:jc w:val="both"/>
        <w:rPr>
          <w:rFonts w:ascii="Times New Roman" w:hAnsi="Times New Roman"/>
          <w:sz w:val="22"/>
          <w:szCs w:val="22"/>
        </w:rPr>
      </w:pPr>
      <w:r>
        <w:rPr>
          <w:rFonts w:ascii="Times New Roman" w:hAnsi="Times New Roman"/>
          <w:sz w:val="22"/>
          <w:szCs w:val="22"/>
        </w:rPr>
        <w:t xml:space="preserve">26.3 </w:t>
      </w:r>
      <w:r>
        <w:rPr>
          <w:rFonts w:ascii="Times New Roman" w:hAnsi="Times New Roman"/>
          <w:sz w:val="22"/>
          <w:szCs w:val="22"/>
        </w:rPr>
        <w:tab/>
      </w:r>
      <w:r w:rsidRPr="00BC0CF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CA05C9" w:rsidRDefault="00CA05C9" w:rsidP="00CA05C9">
      <w:pPr>
        <w:ind w:left="1134" w:hanging="708"/>
        <w:jc w:val="both"/>
        <w:rPr>
          <w:rFonts w:ascii="Times New Roman" w:hAnsi="Times New Roman"/>
          <w:sz w:val="22"/>
          <w:szCs w:val="22"/>
        </w:rPr>
      </w:pPr>
      <w:r>
        <w:rPr>
          <w:rFonts w:ascii="Times New Roman" w:hAnsi="Times New Roman"/>
          <w:sz w:val="22"/>
          <w:szCs w:val="22"/>
        </w:rPr>
        <w:t xml:space="preserve">26.5 </w:t>
      </w:r>
      <w:r>
        <w:rPr>
          <w:rFonts w:ascii="Times New Roman" w:hAnsi="Times New Roman"/>
          <w:sz w:val="22"/>
          <w:szCs w:val="22"/>
        </w:rPr>
        <w:tab/>
      </w:r>
      <w:r w:rsidRPr="004331A2">
        <w:rPr>
          <w:rFonts w:ascii="Times New Roman" w:hAnsi="Times New Roman"/>
          <w:sz w:val="22"/>
          <w:szCs w:val="22"/>
        </w:rPr>
        <w:t xml:space="preserve">In order to obtain payments, the contractor must forward to the authority referred to in paragraph </w:t>
      </w:r>
      <w:r w:rsidRPr="003D6B6C">
        <w:rPr>
          <w:rFonts w:ascii="Times New Roman" w:hAnsi="Times New Roman"/>
          <w:sz w:val="22"/>
          <w:szCs w:val="22"/>
        </w:rPr>
        <w:t>26.1</w:t>
      </w:r>
      <w:r>
        <w:rPr>
          <w:rFonts w:ascii="Times New Roman" w:hAnsi="Times New Roman"/>
          <w:sz w:val="22"/>
          <w:szCs w:val="22"/>
        </w:rPr>
        <w:t xml:space="preserve"> </w:t>
      </w:r>
      <w:r w:rsidRPr="004331A2">
        <w:rPr>
          <w:rFonts w:ascii="Times New Roman" w:hAnsi="Times New Roman"/>
          <w:sz w:val="22"/>
          <w:szCs w:val="22"/>
        </w:rPr>
        <w:t>above, the invoice(s) in triplicate following provisional acceptance of the supplies.</w:t>
      </w:r>
      <w:r w:rsidR="0072764B">
        <w:rPr>
          <w:rFonts w:ascii="Times New Roman" w:hAnsi="Times New Roman"/>
          <w:sz w:val="22"/>
          <w:szCs w:val="22"/>
        </w:rPr>
        <w:t xml:space="preserve"> Invoice must be VAT exempt.</w:t>
      </w:r>
    </w:p>
    <w:p w:rsidR="0050543C" w:rsidRPr="003D6B6C" w:rsidRDefault="0050543C" w:rsidP="0050543C">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50543C" w:rsidRDefault="0050543C" w:rsidP="0050543C">
      <w:pPr>
        <w:autoSpaceDE w:val="0"/>
        <w:autoSpaceDN w:val="0"/>
        <w:adjustRightInd w:val="0"/>
        <w:ind w:left="1134" w:hanging="709"/>
        <w:jc w:val="both"/>
        <w:rPr>
          <w:rFonts w:ascii="Times New Roman" w:hAnsi="Times New Roman"/>
          <w:b/>
          <w:sz w:val="24"/>
          <w:szCs w:val="24"/>
        </w:rPr>
      </w:pPr>
      <w:r w:rsidRPr="003D6B6C">
        <w:rPr>
          <w:rFonts w:ascii="Times New Roman" w:hAnsi="Times New Roman"/>
          <w:sz w:val="22"/>
          <w:szCs w:val="22"/>
        </w:rPr>
        <w:t>28.2</w:t>
      </w:r>
      <w:r w:rsidRPr="003D6B6C">
        <w:rPr>
          <w:rFonts w:ascii="Times New Roman" w:hAnsi="Times New Roman"/>
          <w:b/>
          <w:sz w:val="22"/>
          <w:szCs w:val="22"/>
        </w:rPr>
        <w:tab/>
      </w:r>
      <w:r w:rsidRPr="0050543C">
        <w:rPr>
          <w:rFonts w:ascii="Times New Roman" w:hAnsi="Times New Roman"/>
          <w:snapToGrid/>
          <w:sz w:val="22"/>
          <w:szCs w:val="22"/>
          <w:lang w:eastAsia="en-GB"/>
        </w:rPr>
        <w:t>By derogation from Article 28.2 of the general conditions, o</w:t>
      </w:r>
      <w:r w:rsidRPr="0050543C">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50543C" w:rsidRDefault="0047783A" w:rsidP="0050543C">
      <w:pPr>
        <w:ind w:left="1134" w:hanging="709"/>
        <w:jc w:val="both"/>
        <w:rPr>
          <w:rFonts w:ascii="Times New Roman" w:hAnsi="Times New Roman"/>
          <w:sz w:val="22"/>
          <w:szCs w:val="22"/>
        </w:rPr>
      </w:pPr>
      <w:r w:rsidRPr="003D6B6C">
        <w:rPr>
          <w:rFonts w:ascii="Times New Roman" w:hAnsi="Times New Roman"/>
          <w:sz w:val="22"/>
          <w:szCs w:val="22"/>
        </w:rPr>
        <w:t>29.</w:t>
      </w:r>
      <w:r w:rsidR="0050543C">
        <w:rPr>
          <w:rFonts w:ascii="Times New Roman" w:hAnsi="Times New Roman"/>
          <w:sz w:val="22"/>
          <w:szCs w:val="22"/>
        </w:rPr>
        <w:t>3</w:t>
      </w:r>
      <w:r w:rsidRPr="003D6B6C">
        <w:rPr>
          <w:rFonts w:ascii="Times New Roman" w:hAnsi="Times New Roman"/>
          <w:b/>
          <w:sz w:val="22"/>
          <w:szCs w:val="22"/>
        </w:rPr>
        <w:tab/>
      </w:r>
      <w:r w:rsidR="0050543C" w:rsidRPr="00F5730A">
        <w:rPr>
          <w:rFonts w:ascii="Times New Roman" w:hAnsi="Times New Roman"/>
          <w:sz w:val="22"/>
          <w:szCs w:val="22"/>
        </w:rPr>
        <w:t>The packaging shall remain the property of the contractor subject to environmental considerations.</w:t>
      </w:r>
    </w:p>
    <w:p w:rsidR="00F5730A" w:rsidRDefault="00F5730A" w:rsidP="00B34179">
      <w:pPr>
        <w:spacing w:before="240"/>
        <w:ind w:left="1134" w:hanging="1134"/>
        <w:jc w:val="both"/>
        <w:rPr>
          <w:rFonts w:ascii="Times New Roman" w:hAnsi="Times New Roman"/>
          <w:b/>
          <w:sz w:val="24"/>
          <w:szCs w:val="24"/>
        </w:rPr>
      </w:pPr>
      <w:bookmarkStart w:id="14" w:name="_Toc124934914"/>
    </w:p>
    <w:p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4"/>
    </w:p>
    <w:p w:rsidR="00541440" w:rsidRDefault="00541440" w:rsidP="005804B9">
      <w:pPr>
        <w:ind w:left="1134"/>
        <w:jc w:val="both"/>
        <w:rPr>
          <w:rFonts w:ascii="Times New Roman" w:hAnsi="Times New Roman"/>
          <w:sz w:val="22"/>
          <w:szCs w:val="22"/>
        </w:rPr>
      </w:pPr>
      <w:r w:rsidRPr="00541440">
        <w:rPr>
          <w:rFonts w:ascii="Times New Roman" w:hAnsi="Times New Roman"/>
          <w:sz w:val="22"/>
          <w:szCs w:val="22"/>
        </w:rPr>
        <w:t xml:space="preserve">The Certificate of Provisional Acceptance must be issued using the template in Annex C11 of the Practical Guide. </w:t>
      </w:r>
    </w:p>
    <w:p w:rsidR="00607CCB" w:rsidRPr="008132E8" w:rsidRDefault="0047783A" w:rsidP="008132E8">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r w:rsidR="005E071B">
        <w:rPr>
          <w:rFonts w:ascii="Times New Roman" w:hAnsi="Times New Roman"/>
          <w:b/>
          <w:sz w:val="22"/>
          <w:szCs w:val="22"/>
        </w:rPr>
        <w:t xml:space="preserve"> </w:t>
      </w:r>
    </w:p>
    <w:p w:rsidR="00B84659" w:rsidRDefault="00607CCB" w:rsidP="00C83C20">
      <w:pPr>
        <w:ind w:left="1134" w:hanging="708"/>
        <w:jc w:val="both"/>
        <w:rPr>
          <w:rFonts w:ascii="Times New Roman" w:hAnsi="Times New Roman"/>
          <w:sz w:val="22"/>
          <w:szCs w:val="22"/>
        </w:rPr>
      </w:pPr>
      <w:r>
        <w:rPr>
          <w:rFonts w:ascii="Times New Roman" w:hAnsi="Times New Roman"/>
          <w:sz w:val="22"/>
          <w:szCs w:val="22"/>
        </w:rPr>
        <w:t>32.</w:t>
      </w:r>
      <w:r w:rsidR="0050543C">
        <w:rPr>
          <w:rFonts w:ascii="Times New Roman" w:hAnsi="Times New Roman"/>
          <w:sz w:val="22"/>
          <w:szCs w:val="22"/>
        </w:rPr>
        <w:t>6</w:t>
      </w:r>
      <w:r>
        <w:rPr>
          <w:rFonts w:ascii="Times New Roman" w:hAnsi="Times New Roman"/>
          <w:sz w:val="22"/>
          <w:szCs w:val="22"/>
        </w:rPr>
        <w:t xml:space="preserve"> </w:t>
      </w:r>
      <w:r w:rsidR="005E071B">
        <w:rPr>
          <w:rFonts w:ascii="Times New Roman" w:hAnsi="Times New Roman"/>
          <w:sz w:val="22"/>
          <w:szCs w:val="22"/>
        </w:rPr>
        <w:tab/>
      </w:r>
      <w:r w:rsidR="0050543C" w:rsidRPr="0050543C">
        <w:rPr>
          <w:rFonts w:ascii="Times New Roman" w:hAnsi="Times New Roman"/>
          <w:sz w:val="22"/>
          <w:szCs w:val="22"/>
        </w:rPr>
        <w:t xml:space="preserve">Warranty minimum: </w:t>
      </w:r>
    </w:p>
    <w:p w:rsidR="00B84659" w:rsidRDefault="0050543C" w:rsidP="00B84659">
      <w:pPr>
        <w:ind w:left="1134"/>
        <w:jc w:val="both"/>
        <w:rPr>
          <w:rFonts w:ascii="Times New Roman" w:hAnsi="Times New Roman"/>
          <w:sz w:val="22"/>
          <w:szCs w:val="22"/>
        </w:rPr>
      </w:pPr>
      <w:r w:rsidRPr="0050543C">
        <w:rPr>
          <w:rFonts w:ascii="Times New Roman" w:hAnsi="Times New Roman"/>
          <w:sz w:val="22"/>
          <w:szCs w:val="22"/>
        </w:rPr>
        <w:t>Standard Factory Guarantee Full warranty of minimum of 2 years/24 months</w:t>
      </w:r>
      <w:r>
        <w:rPr>
          <w:rFonts w:ascii="Times New Roman" w:hAnsi="Times New Roman"/>
          <w:sz w:val="22"/>
          <w:szCs w:val="22"/>
        </w:rPr>
        <w:t xml:space="preserve"> </w:t>
      </w:r>
      <w:r w:rsidRPr="0050543C">
        <w:rPr>
          <w:rFonts w:ascii="Times New Roman" w:hAnsi="Times New Roman"/>
          <w:sz w:val="22"/>
          <w:szCs w:val="22"/>
        </w:rPr>
        <w:t>without limitation in kilometres</w:t>
      </w:r>
      <w:r>
        <w:rPr>
          <w:rFonts w:ascii="Times New Roman" w:hAnsi="Times New Roman"/>
          <w:sz w:val="22"/>
          <w:szCs w:val="22"/>
        </w:rPr>
        <w:t xml:space="preserve">. </w:t>
      </w:r>
    </w:p>
    <w:p w:rsidR="00C83C20" w:rsidRDefault="0050543C" w:rsidP="00B84659">
      <w:pPr>
        <w:ind w:left="1134"/>
        <w:jc w:val="both"/>
        <w:rPr>
          <w:rFonts w:ascii="Times New Roman" w:hAnsi="Times New Roman"/>
          <w:sz w:val="22"/>
          <w:szCs w:val="22"/>
        </w:rPr>
      </w:pPr>
      <w:r>
        <w:rPr>
          <w:rFonts w:ascii="Times New Roman" w:hAnsi="Times New Roman"/>
          <w:sz w:val="22"/>
          <w:szCs w:val="22"/>
        </w:rPr>
        <w:t xml:space="preserve">Warranty against corrosion must be at least </w:t>
      </w:r>
      <w:r w:rsidRPr="0050543C">
        <w:rPr>
          <w:rFonts w:ascii="Times New Roman" w:hAnsi="Times New Roman"/>
          <w:sz w:val="22"/>
          <w:szCs w:val="22"/>
        </w:rPr>
        <w:t>12 years</w:t>
      </w:r>
      <w:r>
        <w:rPr>
          <w:rFonts w:ascii="Times New Roman" w:hAnsi="Times New Roman"/>
          <w:sz w:val="22"/>
          <w:szCs w:val="22"/>
        </w:rPr>
        <w:t>.</w:t>
      </w:r>
    </w:p>
    <w:p w:rsidR="005804B9" w:rsidRPr="005804B9" w:rsidRDefault="00C83C20" w:rsidP="00C83C20">
      <w:pPr>
        <w:ind w:left="1134" w:hanging="708"/>
        <w:jc w:val="both"/>
        <w:rPr>
          <w:rFonts w:ascii="Times New Roman" w:hAnsi="Times New Roman"/>
          <w:sz w:val="22"/>
          <w:szCs w:val="22"/>
        </w:rPr>
      </w:pPr>
      <w:r>
        <w:rPr>
          <w:rFonts w:ascii="Times New Roman" w:hAnsi="Times New Roman"/>
          <w:sz w:val="22"/>
          <w:szCs w:val="22"/>
        </w:rPr>
        <w:t xml:space="preserve">32.7 </w:t>
      </w:r>
      <w:r>
        <w:rPr>
          <w:rFonts w:ascii="Times New Roman" w:hAnsi="Times New Roman"/>
          <w:sz w:val="22"/>
          <w:szCs w:val="22"/>
        </w:rPr>
        <w:tab/>
      </w:r>
      <w:r w:rsidR="008132E8" w:rsidRPr="008132E8">
        <w:rPr>
          <w:rFonts w:ascii="Times New Roman" w:hAnsi="Times New Roman"/>
          <w:sz w:val="22"/>
          <w:szCs w:val="22"/>
        </w:rPr>
        <w:t xml:space="preserve">The warranty </w:t>
      </w:r>
      <w:r w:rsidR="0050543C">
        <w:rPr>
          <w:rFonts w:ascii="Times New Roman" w:hAnsi="Times New Roman"/>
          <w:sz w:val="22"/>
          <w:szCs w:val="22"/>
        </w:rPr>
        <w:t xml:space="preserve">must remain valid for the period stipulated in article 32.6 </w:t>
      </w:r>
      <w:r>
        <w:rPr>
          <w:rFonts w:ascii="Times New Roman" w:hAnsi="Times New Roman"/>
          <w:sz w:val="22"/>
          <w:szCs w:val="22"/>
        </w:rPr>
        <w:t>and</w:t>
      </w:r>
      <w:r w:rsidR="008132E8" w:rsidRPr="008132E8">
        <w:rPr>
          <w:rFonts w:ascii="Times New Roman" w:hAnsi="Times New Roman"/>
          <w:sz w:val="22"/>
          <w:szCs w:val="22"/>
        </w:rPr>
        <w:t xml:space="preserve"> shall commence on the date of provisional acceptance</w:t>
      </w:r>
      <w:r>
        <w:rPr>
          <w:rFonts w:ascii="Times New Roman" w:hAnsi="Times New Roman"/>
          <w:sz w:val="22"/>
          <w:szCs w:val="22"/>
        </w:rPr>
        <w:t xml:space="preserve">. </w:t>
      </w:r>
      <w:r w:rsidR="008132E8" w:rsidRPr="008132E8">
        <w:rPr>
          <w:rFonts w:ascii="Times New Roman" w:hAnsi="Times New Roman"/>
          <w:sz w:val="22"/>
          <w:szCs w:val="22"/>
        </w:rPr>
        <w:t xml:space="preserve"> </w:t>
      </w:r>
    </w:p>
    <w:p w:rsidR="0047783A" w:rsidRPr="003D6B6C" w:rsidRDefault="0047783A" w:rsidP="00B34179">
      <w:pPr>
        <w:spacing w:before="240"/>
        <w:ind w:left="1134" w:hanging="1134"/>
        <w:jc w:val="both"/>
        <w:rPr>
          <w:rFonts w:ascii="Times New Roman" w:hAnsi="Times New Roman"/>
          <w:b/>
          <w:sz w:val="24"/>
          <w:szCs w:val="24"/>
        </w:rPr>
      </w:pPr>
      <w:bookmarkStart w:id="1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6"/>
    </w:p>
    <w:p w:rsidR="000D133D" w:rsidRPr="003D6B6C" w:rsidRDefault="0047783A" w:rsidP="000D133D">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000D133D">
        <w:rPr>
          <w:rFonts w:ascii="Times New Roman" w:hAnsi="Times New Roman"/>
          <w:sz w:val="22"/>
          <w:szCs w:val="22"/>
        </w:rPr>
        <w:tab/>
      </w:r>
      <w:r w:rsidRPr="000D133D">
        <w:rPr>
          <w:rFonts w:ascii="Times New Roman" w:hAnsi="Times New Roman"/>
          <w:sz w:val="22"/>
          <w:szCs w:val="22"/>
        </w:rPr>
        <w:t xml:space="preserve">Any disputes arising out of or relating to this </w:t>
      </w:r>
      <w:r w:rsidR="00F60098" w:rsidRPr="000D133D">
        <w:rPr>
          <w:rFonts w:ascii="Times New Roman" w:hAnsi="Times New Roman"/>
          <w:sz w:val="22"/>
          <w:szCs w:val="22"/>
        </w:rPr>
        <w:t>c</w:t>
      </w:r>
      <w:r w:rsidR="0097513D" w:rsidRPr="000D133D">
        <w:rPr>
          <w:rFonts w:ascii="Times New Roman" w:hAnsi="Times New Roman"/>
          <w:sz w:val="22"/>
          <w:szCs w:val="22"/>
        </w:rPr>
        <w:t>ontract</w:t>
      </w:r>
      <w:r w:rsidRPr="000D133D">
        <w:rPr>
          <w:rFonts w:ascii="Times New Roman" w:hAnsi="Times New Roman"/>
          <w:sz w:val="22"/>
          <w:szCs w:val="22"/>
        </w:rPr>
        <w:t xml:space="preserve"> which cannot be settled </w:t>
      </w:r>
      <w:r w:rsidR="000D133D" w:rsidRPr="000D133D">
        <w:rPr>
          <w:rFonts w:ascii="Times New Roman" w:hAnsi="Times New Roman"/>
          <w:sz w:val="22"/>
          <w:szCs w:val="22"/>
        </w:rPr>
        <w:t>o</w:t>
      </w:r>
      <w:r w:rsidR="009103A9">
        <w:rPr>
          <w:rFonts w:ascii="Times New Roman" w:hAnsi="Times New Roman"/>
          <w:sz w:val="22"/>
          <w:szCs w:val="22"/>
        </w:rPr>
        <w:t>therwise</w:t>
      </w:r>
      <w:r w:rsidRPr="000D133D">
        <w:rPr>
          <w:rFonts w:ascii="Times New Roman" w:hAnsi="Times New Roman"/>
          <w:sz w:val="22"/>
          <w:szCs w:val="22"/>
        </w:rPr>
        <w:t xml:space="preserve"> </w:t>
      </w:r>
      <w:r w:rsidR="00551543" w:rsidRPr="000D133D">
        <w:rPr>
          <w:rFonts w:ascii="Times New Roman" w:hAnsi="Times New Roman"/>
          <w:sz w:val="22"/>
          <w:szCs w:val="22"/>
        </w:rPr>
        <w:t>sha</w:t>
      </w:r>
      <w:r w:rsidR="003D2078" w:rsidRPr="000D133D">
        <w:rPr>
          <w:rFonts w:ascii="Times New Roman" w:hAnsi="Times New Roman"/>
          <w:sz w:val="22"/>
          <w:szCs w:val="22"/>
        </w:rPr>
        <w:t>ll</w:t>
      </w:r>
      <w:r w:rsidRPr="000D133D">
        <w:rPr>
          <w:rFonts w:ascii="Times New Roman" w:hAnsi="Times New Roman"/>
          <w:sz w:val="22"/>
          <w:szCs w:val="22"/>
        </w:rPr>
        <w:t xml:space="preserve"> be referred to the exclusive jurisdiction of</w:t>
      </w:r>
      <w:r w:rsidRPr="000D133D">
        <w:rPr>
          <w:rFonts w:ascii="Times New Roman" w:hAnsi="Times New Roman"/>
          <w:i/>
          <w:sz w:val="22"/>
          <w:szCs w:val="22"/>
        </w:rPr>
        <w:t xml:space="preserve"> </w:t>
      </w:r>
      <w:r w:rsidRPr="000D133D">
        <w:rPr>
          <w:rFonts w:ascii="Times New Roman" w:hAnsi="Times New Roman"/>
          <w:sz w:val="22"/>
          <w:szCs w:val="22"/>
        </w:rPr>
        <w:t xml:space="preserve">the courts of </w:t>
      </w:r>
      <w:r w:rsidR="000D133D" w:rsidRPr="000D133D">
        <w:rPr>
          <w:rFonts w:ascii="Times New Roman" w:hAnsi="Times New Roman"/>
          <w:sz w:val="22"/>
          <w:szCs w:val="22"/>
        </w:rPr>
        <w:t>Belgrade</w:t>
      </w:r>
      <w:r w:rsidRPr="000D133D">
        <w:rPr>
          <w:rFonts w:ascii="Times New Roman" w:hAnsi="Times New Roman"/>
          <w:sz w:val="22"/>
          <w:szCs w:val="22"/>
        </w:rPr>
        <w:t xml:space="preserve">, </w:t>
      </w:r>
      <w:r w:rsidR="000D133D" w:rsidRPr="000D133D">
        <w:rPr>
          <w:rFonts w:ascii="Times New Roman" w:hAnsi="Times New Roman"/>
          <w:sz w:val="22"/>
          <w:szCs w:val="22"/>
        </w:rPr>
        <w:t>Serbia in accordance with the national legislation of the state of the contacting authority.</w:t>
      </w:r>
    </w:p>
    <w:p w:rsidR="00407C90" w:rsidRPr="000D133D" w:rsidRDefault="00407C90" w:rsidP="00407C90">
      <w:pPr>
        <w:keepNext/>
        <w:keepLines/>
        <w:tabs>
          <w:tab w:val="left" w:pos="1134"/>
        </w:tabs>
        <w:spacing w:before="240"/>
        <w:ind w:left="1134" w:hanging="1134"/>
        <w:rPr>
          <w:rFonts w:ascii="Times New Roman" w:hAnsi="Times New Roman"/>
          <w:b/>
          <w:sz w:val="24"/>
          <w:szCs w:val="24"/>
        </w:rPr>
      </w:pPr>
      <w:r w:rsidRPr="000D133D">
        <w:rPr>
          <w:rFonts w:ascii="Times New Roman" w:hAnsi="Times New Roman"/>
          <w:b/>
          <w:sz w:val="24"/>
          <w:szCs w:val="24"/>
        </w:rPr>
        <w:t>Article 44</w:t>
      </w:r>
      <w:r w:rsidRPr="000D133D">
        <w:rPr>
          <w:rFonts w:ascii="Times New Roman" w:hAnsi="Times New Roman"/>
          <w:b/>
          <w:sz w:val="24"/>
          <w:szCs w:val="24"/>
        </w:rPr>
        <w:tab/>
        <w:t xml:space="preserve">Data </w:t>
      </w:r>
      <w:r w:rsidR="00686E07" w:rsidRPr="000D133D">
        <w:rPr>
          <w:rFonts w:ascii="Times New Roman" w:hAnsi="Times New Roman"/>
          <w:b/>
          <w:sz w:val="24"/>
          <w:szCs w:val="24"/>
        </w:rPr>
        <w:t>p</w:t>
      </w:r>
      <w:r w:rsidRPr="000D133D">
        <w:rPr>
          <w:rFonts w:ascii="Times New Roman" w:hAnsi="Times New Roman"/>
          <w:b/>
          <w:sz w:val="24"/>
          <w:szCs w:val="24"/>
        </w:rPr>
        <w:t>rotection</w:t>
      </w:r>
    </w:p>
    <w:p w:rsidR="009F7E6A" w:rsidRPr="000D133D" w:rsidRDefault="009F7E6A" w:rsidP="009F7E6A">
      <w:pPr>
        <w:jc w:val="both"/>
        <w:rPr>
          <w:rFonts w:ascii="Times New Roman" w:hAnsi="Times New Roman"/>
          <w:sz w:val="22"/>
          <w:szCs w:val="22"/>
        </w:rPr>
      </w:pPr>
      <w:r w:rsidRPr="000D133D">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0D133D">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D133D">
        <w:rPr>
          <w:rStyle w:val="FootnoteReference"/>
          <w:rFonts w:ascii="Times New Roman" w:hAnsi="Times New Roman"/>
          <w:sz w:val="22"/>
          <w:szCs w:val="22"/>
        </w:rPr>
        <w:footnoteReference w:id="1"/>
      </w:r>
      <w:r w:rsidRPr="000D133D">
        <w:rPr>
          <w:rFonts w:ascii="Times New Roman" w:hAnsi="Times New Roman"/>
          <w:sz w:val="22"/>
          <w:szCs w:val="22"/>
        </w:rPr>
        <w:t xml:space="preserve"> and as detailed in the specific privacy statement published at ePRAG.</w:t>
      </w:r>
    </w:p>
    <w:p w:rsidR="00B605B6" w:rsidRDefault="0049293D" w:rsidP="0011156A">
      <w:pPr>
        <w:pStyle w:val="ListNumber"/>
        <w:numPr>
          <w:ilvl w:val="0"/>
          <w:numId w:val="0"/>
        </w:numPr>
        <w:rPr>
          <w:sz w:val="22"/>
          <w:szCs w:val="22"/>
        </w:rPr>
      </w:pPr>
      <w:r>
        <w:rPr>
          <w:sz w:val="22"/>
          <w:szCs w:val="22"/>
        </w:rPr>
        <w:t xml:space="preserve"> </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52A" w:rsidRPr="006A5F84" w:rsidRDefault="009E452A">
      <w:r w:rsidRPr="006A5F84">
        <w:separator/>
      </w:r>
    </w:p>
  </w:endnote>
  <w:endnote w:type="continuationSeparator" w:id="0">
    <w:p w:rsidR="009E452A" w:rsidRPr="006A5F84" w:rsidRDefault="009E452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Default="00DE079B"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6E3" w:rsidRPr="00FE689C" w:rsidRDefault="00E66C32"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w:t>
    </w:r>
    <w:r>
      <w:rPr>
        <w:rFonts w:ascii="Times New Roman" w:hAnsi="Times New Roman"/>
        <w:b/>
        <w:sz w:val="18"/>
        <w:szCs w:val="18"/>
        <w:lang w:val="en-GB"/>
      </w:rPr>
      <w:t>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DE079B"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DE079B" w:rsidRPr="009423FB">
      <w:rPr>
        <w:rStyle w:val="PageNumber"/>
        <w:rFonts w:ascii="Times New Roman" w:hAnsi="Times New Roman"/>
        <w:sz w:val="18"/>
        <w:szCs w:val="18"/>
      </w:rPr>
      <w:fldChar w:fldCharType="separate"/>
    </w:r>
    <w:r w:rsidR="00F5730A">
      <w:rPr>
        <w:rStyle w:val="PageNumber"/>
        <w:rFonts w:ascii="Times New Roman" w:hAnsi="Times New Roman"/>
        <w:noProof/>
        <w:sz w:val="18"/>
        <w:szCs w:val="18"/>
        <w:lang w:val="en-GB"/>
      </w:rPr>
      <w:t>1</w:t>
    </w:r>
    <w:r w:rsidR="00DE079B"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DE079B"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DE079B" w:rsidRPr="009423FB">
      <w:rPr>
        <w:rStyle w:val="PageNumber"/>
        <w:rFonts w:ascii="Times New Roman" w:hAnsi="Times New Roman"/>
        <w:sz w:val="18"/>
        <w:szCs w:val="18"/>
      </w:rPr>
      <w:fldChar w:fldCharType="separate"/>
    </w:r>
    <w:r w:rsidR="00F5730A">
      <w:rPr>
        <w:rStyle w:val="PageNumber"/>
        <w:rFonts w:ascii="Times New Roman" w:hAnsi="Times New Roman"/>
        <w:noProof/>
        <w:sz w:val="18"/>
        <w:szCs w:val="18"/>
        <w:lang w:val="en-GB"/>
      </w:rPr>
      <w:t>4</w:t>
    </w:r>
    <w:r w:rsidR="00DE079B" w:rsidRPr="009423FB">
      <w:rPr>
        <w:rStyle w:val="PageNumber"/>
        <w:rFonts w:ascii="Times New Roman" w:hAnsi="Times New Roman"/>
        <w:sz w:val="18"/>
        <w:szCs w:val="18"/>
      </w:rPr>
      <w:fldChar w:fldCharType="end"/>
    </w:r>
  </w:p>
  <w:p w:rsidR="00117ADA" w:rsidRPr="007E36E3" w:rsidRDefault="00DE079B"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DA" w:rsidRPr="006A5F84" w:rsidRDefault="00DE079B"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52A" w:rsidRPr="006A5F84" w:rsidRDefault="009E452A">
      <w:r w:rsidRPr="006A5F84">
        <w:separator/>
      </w:r>
    </w:p>
  </w:footnote>
  <w:footnote w:type="continuationSeparator" w:id="0">
    <w:p w:rsidR="009E452A" w:rsidRPr="006A5F84" w:rsidRDefault="009E452A">
      <w:r w:rsidRPr="006A5F84">
        <w:continuationSeparator/>
      </w:r>
    </w:p>
  </w:footnote>
  <w:footnote w:id="1">
    <w:p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0822AC3"/>
    <w:multiLevelType w:val="hybridMultilevel"/>
    <w:tmpl w:val="1A8E2EB6"/>
    <w:lvl w:ilvl="0" w:tplc="454CC474">
      <w:start w:val="1"/>
      <w:numFmt w:val="lowerLetter"/>
      <w:lvlText w:val="(%1)"/>
      <w:lvlJc w:val="left"/>
      <w:pPr>
        <w:tabs>
          <w:tab w:val="num" w:pos="2160"/>
        </w:tabs>
        <w:ind w:left="2160" w:hanging="885"/>
      </w:pPr>
      <w:rPr>
        <w:rFonts w:hint="default"/>
      </w:rPr>
    </w:lvl>
    <w:lvl w:ilvl="1" w:tplc="08090019">
      <w:start w:val="1"/>
      <w:numFmt w:val="lowerLetter"/>
      <w:lvlText w:val="%2."/>
      <w:lvlJc w:val="left"/>
      <w:pPr>
        <w:tabs>
          <w:tab w:val="num" w:pos="2355"/>
        </w:tabs>
        <w:ind w:left="2355" w:hanging="360"/>
      </w:pPr>
    </w:lvl>
    <w:lvl w:ilvl="2" w:tplc="0809001B">
      <w:start w:val="1"/>
      <w:numFmt w:val="lowerRoman"/>
      <w:lvlText w:val="%3."/>
      <w:lvlJc w:val="right"/>
      <w:pPr>
        <w:tabs>
          <w:tab w:val="num" w:pos="3075"/>
        </w:tabs>
        <w:ind w:left="3075" w:hanging="180"/>
      </w:pPr>
    </w:lvl>
    <w:lvl w:ilvl="3" w:tplc="0809000F">
      <w:start w:val="1"/>
      <w:numFmt w:val="decimal"/>
      <w:lvlText w:val="%4."/>
      <w:lvlJc w:val="left"/>
      <w:pPr>
        <w:tabs>
          <w:tab w:val="num" w:pos="3795"/>
        </w:tabs>
        <w:ind w:left="3795" w:hanging="360"/>
      </w:pPr>
    </w:lvl>
    <w:lvl w:ilvl="4" w:tplc="08090019">
      <w:start w:val="1"/>
      <w:numFmt w:val="lowerLetter"/>
      <w:lvlText w:val="%5."/>
      <w:lvlJc w:val="left"/>
      <w:pPr>
        <w:tabs>
          <w:tab w:val="num" w:pos="4515"/>
        </w:tabs>
        <w:ind w:left="4515" w:hanging="360"/>
      </w:pPr>
    </w:lvl>
    <w:lvl w:ilvl="5" w:tplc="0809001B">
      <w:start w:val="1"/>
      <w:numFmt w:val="lowerRoman"/>
      <w:lvlText w:val="%6."/>
      <w:lvlJc w:val="right"/>
      <w:pPr>
        <w:tabs>
          <w:tab w:val="num" w:pos="5235"/>
        </w:tabs>
        <w:ind w:left="5235" w:hanging="180"/>
      </w:pPr>
    </w:lvl>
    <w:lvl w:ilvl="6" w:tplc="0809000F">
      <w:start w:val="1"/>
      <w:numFmt w:val="decimal"/>
      <w:lvlText w:val="%7."/>
      <w:lvlJc w:val="left"/>
      <w:pPr>
        <w:tabs>
          <w:tab w:val="num" w:pos="5955"/>
        </w:tabs>
        <w:ind w:left="5955" w:hanging="360"/>
      </w:pPr>
    </w:lvl>
    <w:lvl w:ilvl="7" w:tplc="08090019">
      <w:start w:val="1"/>
      <w:numFmt w:val="lowerLetter"/>
      <w:lvlText w:val="%8."/>
      <w:lvlJc w:val="left"/>
      <w:pPr>
        <w:tabs>
          <w:tab w:val="num" w:pos="6675"/>
        </w:tabs>
        <w:ind w:left="6675" w:hanging="360"/>
      </w:pPr>
    </w:lvl>
    <w:lvl w:ilvl="8" w:tplc="0809001B">
      <w:start w:val="1"/>
      <w:numFmt w:val="lowerRoman"/>
      <w:lvlText w:val="%9."/>
      <w:lvlJc w:val="right"/>
      <w:pPr>
        <w:tabs>
          <w:tab w:val="num" w:pos="7395"/>
        </w:tabs>
        <w:ind w:left="7395" w:hanging="18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4"/>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w:compa"/>
    <w:docVar w:name="Stamp" w:val="Style11ptBlackJustifiedRight001cmBefore865"/>
  </w:docVars>
  <w:rsids>
    <w:rsidRoot w:val="0073450F"/>
    <w:rsid w:val="000014BF"/>
    <w:rsid w:val="000021E1"/>
    <w:rsid w:val="0000334D"/>
    <w:rsid w:val="00004902"/>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1B78"/>
    <w:rsid w:val="0009286D"/>
    <w:rsid w:val="0009746B"/>
    <w:rsid w:val="000A1A71"/>
    <w:rsid w:val="000A3B36"/>
    <w:rsid w:val="000A6371"/>
    <w:rsid w:val="000A7A2C"/>
    <w:rsid w:val="000B0983"/>
    <w:rsid w:val="000B1236"/>
    <w:rsid w:val="000B3A25"/>
    <w:rsid w:val="000B46A8"/>
    <w:rsid w:val="000B79F6"/>
    <w:rsid w:val="000C4AE6"/>
    <w:rsid w:val="000C709A"/>
    <w:rsid w:val="000D133D"/>
    <w:rsid w:val="000D24E3"/>
    <w:rsid w:val="000D2B44"/>
    <w:rsid w:val="000D40DB"/>
    <w:rsid w:val="000E5B1E"/>
    <w:rsid w:val="000E7B75"/>
    <w:rsid w:val="000F1339"/>
    <w:rsid w:val="000F5F5F"/>
    <w:rsid w:val="000F7C2D"/>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73F4"/>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084"/>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5813"/>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B6596"/>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36026"/>
    <w:rsid w:val="003409B8"/>
    <w:rsid w:val="003439C4"/>
    <w:rsid w:val="00347B7E"/>
    <w:rsid w:val="003502E9"/>
    <w:rsid w:val="00351351"/>
    <w:rsid w:val="00360344"/>
    <w:rsid w:val="003613D2"/>
    <w:rsid w:val="00361AE1"/>
    <w:rsid w:val="0036422F"/>
    <w:rsid w:val="00371851"/>
    <w:rsid w:val="00371F01"/>
    <w:rsid w:val="003721AD"/>
    <w:rsid w:val="00372540"/>
    <w:rsid w:val="00375F8B"/>
    <w:rsid w:val="00382640"/>
    <w:rsid w:val="0038357E"/>
    <w:rsid w:val="00384BAB"/>
    <w:rsid w:val="00384BFF"/>
    <w:rsid w:val="00385FFC"/>
    <w:rsid w:val="00387C56"/>
    <w:rsid w:val="003915CC"/>
    <w:rsid w:val="00391C12"/>
    <w:rsid w:val="003925E9"/>
    <w:rsid w:val="00395823"/>
    <w:rsid w:val="003A1309"/>
    <w:rsid w:val="003A431E"/>
    <w:rsid w:val="003C084D"/>
    <w:rsid w:val="003C12C5"/>
    <w:rsid w:val="003C7266"/>
    <w:rsid w:val="003D1659"/>
    <w:rsid w:val="003D2078"/>
    <w:rsid w:val="003D3CAA"/>
    <w:rsid w:val="003D625C"/>
    <w:rsid w:val="003D6B6C"/>
    <w:rsid w:val="003D7611"/>
    <w:rsid w:val="003E7C71"/>
    <w:rsid w:val="003F2FA4"/>
    <w:rsid w:val="003F3B51"/>
    <w:rsid w:val="003F7AF5"/>
    <w:rsid w:val="003F7DB7"/>
    <w:rsid w:val="004014D4"/>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331A2"/>
    <w:rsid w:val="00441859"/>
    <w:rsid w:val="00445A75"/>
    <w:rsid w:val="004476EF"/>
    <w:rsid w:val="004520DC"/>
    <w:rsid w:val="0045310F"/>
    <w:rsid w:val="00454E0D"/>
    <w:rsid w:val="004554CB"/>
    <w:rsid w:val="0045678B"/>
    <w:rsid w:val="004607CD"/>
    <w:rsid w:val="00463E3C"/>
    <w:rsid w:val="004719BA"/>
    <w:rsid w:val="00474AF3"/>
    <w:rsid w:val="004775D2"/>
    <w:rsid w:val="00477689"/>
    <w:rsid w:val="0047783A"/>
    <w:rsid w:val="00483E26"/>
    <w:rsid w:val="0048633F"/>
    <w:rsid w:val="0049088E"/>
    <w:rsid w:val="00491439"/>
    <w:rsid w:val="0049293D"/>
    <w:rsid w:val="00494168"/>
    <w:rsid w:val="004A0140"/>
    <w:rsid w:val="004A101E"/>
    <w:rsid w:val="004A6563"/>
    <w:rsid w:val="004A7ED9"/>
    <w:rsid w:val="004B7463"/>
    <w:rsid w:val="004C09DE"/>
    <w:rsid w:val="004C270A"/>
    <w:rsid w:val="004C35B5"/>
    <w:rsid w:val="004C3C82"/>
    <w:rsid w:val="004C77A2"/>
    <w:rsid w:val="004D2FD8"/>
    <w:rsid w:val="004D33C9"/>
    <w:rsid w:val="004E43B2"/>
    <w:rsid w:val="004E6C5D"/>
    <w:rsid w:val="004F5C57"/>
    <w:rsid w:val="004F7A0E"/>
    <w:rsid w:val="005005D7"/>
    <w:rsid w:val="00501FF0"/>
    <w:rsid w:val="005021C9"/>
    <w:rsid w:val="005047E0"/>
    <w:rsid w:val="0050543C"/>
    <w:rsid w:val="00507BA0"/>
    <w:rsid w:val="00513C6F"/>
    <w:rsid w:val="00515D85"/>
    <w:rsid w:val="00516552"/>
    <w:rsid w:val="0052175F"/>
    <w:rsid w:val="00526483"/>
    <w:rsid w:val="00530948"/>
    <w:rsid w:val="0053480C"/>
    <w:rsid w:val="00535826"/>
    <w:rsid w:val="00536B4A"/>
    <w:rsid w:val="00537189"/>
    <w:rsid w:val="00541440"/>
    <w:rsid w:val="00545B66"/>
    <w:rsid w:val="00551543"/>
    <w:rsid w:val="00554164"/>
    <w:rsid w:val="00555F46"/>
    <w:rsid w:val="00556923"/>
    <w:rsid w:val="00561F8A"/>
    <w:rsid w:val="005622C8"/>
    <w:rsid w:val="005634B2"/>
    <w:rsid w:val="00563662"/>
    <w:rsid w:val="00563669"/>
    <w:rsid w:val="00572346"/>
    <w:rsid w:val="00575CB0"/>
    <w:rsid w:val="00576840"/>
    <w:rsid w:val="005772F7"/>
    <w:rsid w:val="005804B9"/>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E071B"/>
    <w:rsid w:val="005F3C51"/>
    <w:rsid w:val="005F62D0"/>
    <w:rsid w:val="00607CCB"/>
    <w:rsid w:val="00611A73"/>
    <w:rsid w:val="0061582A"/>
    <w:rsid w:val="006219A1"/>
    <w:rsid w:val="00623AB3"/>
    <w:rsid w:val="006311FE"/>
    <w:rsid w:val="0063123B"/>
    <w:rsid w:val="00633829"/>
    <w:rsid w:val="00636E8F"/>
    <w:rsid w:val="00637C8F"/>
    <w:rsid w:val="006408AC"/>
    <w:rsid w:val="00640D24"/>
    <w:rsid w:val="00642E75"/>
    <w:rsid w:val="00655A60"/>
    <w:rsid w:val="00661B3C"/>
    <w:rsid w:val="006647F5"/>
    <w:rsid w:val="0066519D"/>
    <w:rsid w:val="00670223"/>
    <w:rsid w:val="00671BE6"/>
    <w:rsid w:val="00676369"/>
    <w:rsid w:val="00677500"/>
    <w:rsid w:val="0068247E"/>
    <w:rsid w:val="00684801"/>
    <w:rsid w:val="006858D9"/>
    <w:rsid w:val="00686ACD"/>
    <w:rsid w:val="00686E07"/>
    <w:rsid w:val="006917B2"/>
    <w:rsid w:val="00692095"/>
    <w:rsid w:val="00695007"/>
    <w:rsid w:val="006A4DD9"/>
    <w:rsid w:val="006A5F84"/>
    <w:rsid w:val="006B0AB1"/>
    <w:rsid w:val="006B145B"/>
    <w:rsid w:val="006C2F05"/>
    <w:rsid w:val="006C513D"/>
    <w:rsid w:val="006D3BA1"/>
    <w:rsid w:val="006D3DE4"/>
    <w:rsid w:val="006D5CEE"/>
    <w:rsid w:val="006E3261"/>
    <w:rsid w:val="006E5450"/>
    <w:rsid w:val="006E54F2"/>
    <w:rsid w:val="006E56FD"/>
    <w:rsid w:val="006E5B49"/>
    <w:rsid w:val="006E6880"/>
    <w:rsid w:val="006F43E5"/>
    <w:rsid w:val="006F596C"/>
    <w:rsid w:val="00703B91"/>
    <w:rsid w:val="00704477"/>
    <w:rsid w:val="00711626"/>
    <w:rsid w:val="00711C72"/>
    <w:rsid w:val="0071243A"/>
    <w:rsid w:val="00722016"/>
    <w:rsid w:val="00724C93"/>
    <w:rsid w:val="00724D0C"/>
    <w:rsid w:val="00725082"/>
    <w:rsid w:val="0072764B"/>
    <w:rsid w:val="0073450F"/>
    <w:rsid w:val="007520CA"/>
    <w:rsid w:val="0075384B"/>
    <w:rsid w:val="007552DC"/>
    <w:rsid w:val="00760195"/>
    <w:rsid w:val="007625F7"/>
    <w:rsid w:val="00763299"/>
    <w:rsid w:val="00763B1C"/>
    <w:rsid w:val="007666CD"/>
    <w:rsid w:val="0077157B"/>
    <w:rsid w:val="00771729"/>
    <w:rsid w:val="00775BB4"/>
    <w:rsid w:val="00775F12"/>
    <w:rsid w:val="00776BF7"/>
    <w:rsid w:val="00777E99"/>
    <w:rsid w:val="007858B9"/>
    <w:rsid w:val="00792A1B"/>
    <w:rsid w:val="00794EE6"/>
    <w:rsid w:val="007973AB"/>
    <w:rsid w:val="00797C04"/>
    <w:rsid w:val="007A0045"/>
    <w:rsid w:val="007A1101"/>
    <w:rsid w:val="007A1556"/>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43BF"/>
    <w:rsid w:val="0080623C"/>
    <w:rsid w:val="00806CE0"/>
    <w:rsid w:val="00811F58"/>
    <w:rsid w:val="008132E8"/>
    <w:rsid w:val="0081418B"/>
    <w:rsid w:val="008201BB"/>
    <w:rsid w:val="008214E2"/>
    <w:rsid w:val="008227A5"/>
    <w:rsid w:val="00822E7E"/>
    <w:rsid w:val="008272ED"/>
    <w:rsid w:val="00830BE9"/>
    <w:rsid w:val="00833EBD"/>
    <w:rsid w:val="008413B3"/>
    <w:rsid w:val="008428B9"/>
    <w:rsid w:val="00853F9D"/>
    <w:rsid w:val="00855409"/>
    <w:rsid w:val="0085667F"/>
    <w:rsid w:val="008571DE"/>
    <w:rsid w:val="008617F3"/>
    <w:rsid w:val="0086688D"/>
    <w:rsid w:val="00866B17"/>
    <w:rsid w:val="00870FD6"/>
    <w:rsid w:val="00872DA7"/>
    <w:rsid w:val="008733D3"/>
    <w:rsid w:val="00875571"/>
    <w:rsid w:val="008808CB"/>
    <w:rsid w:val="0088419E"/>
    <w:rsid w:val="008847D1"/>
    <w:rsid w:val="00884DDE"/>
    <w:rsid w:val="00885882"/>
    <w:rsid w:val="008859E6"/>
    <w:rsid w:val="00885C54"/>
    <w:rsid w:val="008870C9"/>
    <w:rsid w:val="008923B0"/>
    <w:rsid w:val="00892CE9"/>
    <w:rsid w:val="008934F5"/>
    <w:rsid w:val="008943E2"/>
    <w:rsid w:val="008A048D"/>
    <w:rsid w:val="008A0660"/>
    <w:rsid w:val="008A39B7"/>
    <w:rsid w:val="008A6DE2"/>
    <w:rsid w:val="008B1180"/>
    <w:rsid w:val="008C2F6D"/>
    <w:rsid w:val="008C4E79"/>
    <w:rsid w:val="008C5A40"/>
    <w:rsid w:val="008C5DAA"/>
    <w:rsid w:val="008D065E"/>
    <w:rsid w:val="008E40E2"/>
    <w:rsid w:val="008E5F59"/>
    <w:rsid w:val="008E7A2D"/>
    <w:rsid w:val="008F3866"/>
    <w:rsid w:val="008F4FF6"/>
    <w:rsid w:val="009103A9"/>
    <w:rsid w:val="009143FD"/>
    <w:rsid w:val="00920A51"/>
    <w:rsid w:val="00922542"/>
    <w:rsid w:val="00923EDA"/>
    <w:rsid w:val="009251E3"/>
    <w:rsid w:val="00925DBE"/>
    <w:rsid w:val="00930AD1"/>
    <w:rsid w:val="0093582A"/>
    <w:rsid w:val="0094670B"/>
    <w:rsid w:val="00950B0C"/>
    <w:rsid w:val="0097513D"/>
    <w:rsid w:val="00980A42"/>
    <w:rsid w:val="009835C0"/>
    <w:rsid w:val="00986B1E"/>
    <w:rsid w:val="00992889"/>
    <w:rsid w:val="009976B3"/>
    <w:rsid w:val="009A09DC"/>
    <w:rsid w:val="009A0E33"/>
    <w:rsid w:val="009A3792"/>
    <w:rsid w:val="009A3A53"/>
    <w:rsid w:val="009A4F18"/>
    <w:rsid w:val="009A513D"/>
    <w:rsid w:val="009B0CF1"/>
    <w:rsid w:val="009B1FBF"/>
    <w:rsid w:val="009B2F1F"/>
    <w:rsid w:val="009B422E"/>
    <w:rsid w:val="009B4580"/>
    <w:rsid w:val="009B4D6F"/>
    <w:rsid w:val="009B5A6D"/>
    <w:rsid w:val="009B71DF"/>
    <w:rsid w:val="009C0E86"/>
    <w:rsid w:val="009D18D0"/>
    <w:rsid w:val="009D2938"/>
    <w:rsid w:val="009D6A3D"/>
    <w:rsid w:val="009E452A"/>
    <w:rsid w:val="009E4F6E"/>
    <w:rsid w:val="009E6BB7"/>
    <w:rsid w:val="009F22C3"/>
    <w:rsid w:val="009F3092"/>
    <w:rsid w:val="009F3126"/>
    <w:rsid w:val="009F7E6A"/>
    <w:rsid w:val="00A039CA"/>
    <w:rsid w:val="00A04004"/>
    <w:rsid w:val="00A11F12"/>
    <w:rsid w:val="00A1746F"/>
    <w:rsid w:val="00A2645C"/>
    <w:rsid w:val="00A41B28"/>
    <w:rsid w:val="00A43588"/>
    <w:rsid w:val="00A5099A"/>
    <w:rsid w:val="00A512A5"/>
    <w:rsid w:val="00A512C9"/>
    <w:rsid w:val="00A530E3"/>
    <w:rsid w:val="00A539E4"/>
    <w:rsid w:val="00A56046"/>
    <w:rsid w:val="00A62073"/>
    <w:rsid w:val="00A63E3C"/>
    <w:rsid w:val="00A665A2"/>
    <w:rsid w:val="00A75650"/>
    <w:rsid w:val="00A76A6E"/>
    <w:rsid w:val="00A845B1"/>
    <w:rsid w:val="00A85CA9"/>
    <w:rsid w:val="00A87E3D"/>
    <w:rsid w:val="00A90875"/>
    <w:rsid w:val="00A9597C"/>
    <w:rsid w:val="00AA24A4"/>
    <w:rsid w:val="00AA2D0E"/>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D7ED5"/>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31"/>
    <w:rsid w:val="00B3168E"/>
    <w:rsid w:val="00B34179"/>
    <w:rsid w:val="00B44B08"/>
    <w:rsid w:val="00B44DC5"/>
    <w:rsid w:val="00B4772C"/>
    <w:rsid w:val="00B51209"/>
    <w:rsid w:val="00B569B1"/>
    <w:rsid w:val="00B576E1"/>
    <w:rsid w:val="00B57BB8"/>
    <w:rsid w:val="00B605B6"/>
    <w:rsid w:val="00B61CED"/>
    <w:rsid w:val="00B63280"/>
    <w:rsid w:val="00B646E1"/>
    <w:rsid w:val="00B70C0E"/>
    <w:rsid w:val="00B7329A"/>
    <w:rsid w:val="00B76CB1"/>
    <w:rsid w:val="00B80DE8"/>
    <w:rsid w:val="00B8161D"/>
    <w:rsid w:val="00B84659"/>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377CF"/>
    <w:rsid w:val="00C41328"/>
    <w:rsid w:val="00C41919"/>
    <w:rsid w:val="00C42869"/>
    <w:rsid w:val="00C45D2B"/>
    <w:rsid w:val="00C52305"/>
    <w:rsid w:val="00C61312"/>
    <w:rsid w:val="00C6268F"/>
    <w:rsid w:val="00C70783"/>
    <w:rsid w:val="00C720C8"/>
    <w:rsid w:val="00C734AF"/>
    <w:rsid w:val="00C73AAE"/>
    <w:rsid w:val="00C73F87"/>
    <w:rsid w:val="00C75CCE"/>
    <w:rsid w:val="00C778A1"/>
    <w:rsid w:val="00C80DCF"/>
    <w:rsid w:val="00C8298B"/>
    <w:rsid w:val="00C83C20"/>
    <w:rsid w:val="00C846C9"/>
    <w:rsid w:val="00C86724"/>
    <w:rsid w:val="00C92434"/>
    <w:rsid w:val="00C94A76"/>
    <w:rsid w:val="00C95838"/>
    <w:rsid w:val="00CA05C9"/>
    <w:rsid w:val="00CA1354"/>
    <w:rsid w:val="00CA3F76"/>
    <w:rsid w:val="00CA6C68"/>
    <w:rsid w:val="00CC1FD7"/>
    <w:rsid w:val="00CC7DE2"/>
    <w:rsid w:val="00CD68C0"/>
    <w:rsid w:val="00CD6FC9"/>
    <w:rsid w:val="00CD7F25"/>
    <w:rsid w:val="00CE7D24"/>
    <w:rsid w:val="00CF18A5"/>
    <w:rsid w:val="00CF2DE2"/>
    <w:rsid w:val="00CF30C4"/>
    <w:rsid w:val="00CF6CFA"/>
    <w:rsid w:val="00D02E23"/>
    <w:rsid w:val="00D11009"/>
    <w:rsid w:val="00D131B2"/>
    <w:rsid w:val="00D20474"/>
    <w:rsid w:val="00D23D4C"/>
    <w:rsid w:val="00D243E7"/>
    <w:rsid w:val="00D24469"/>
    <w:rsid w:val="00D24893"/>
    <w:rsid w:val="00D25711"/>
    <w:rsid w:val="00D312D2"/>
    <w:rsid w:val="00D360F2"/>
    <w:rsid w:val="00D43612"/>
    <w:rsid w:val="00D4393D"/>
    <w:rsid w:val="00D45AB7"/>
    <w:rsid w:val="00D52CBF"/>
    <w:rsid w:val="00D541A5"/>
    <w:rsid w:val="00D576CA"/>
    <w:rsid w:val="00D60913"/>
    <w:rsid w:val="00D662AA"/>
    <w:rsid w:val="00D66F04"/>
    <w:rsid w:val="00D678AC"/>
    <w:rsid w:val="00D71AF3"/>
    <w:rsid w:val="00D75213"/>
    <w:rsid w:val="00D75E7A"/>
    <w:rsid w:val="00D82847"/>
    <w:rsid w:val="00D83918"/>
    <w:rsid w:val="00D83D1B"/>
    <w:rsid w:val="00D859B5"/>
    <w:rsid w:val="00D86B5F"/>
    <w:rsid w:val="00D90043"/>
    <w:rsid w:val="00D91D64"/>
    <w:rsid w:val="00D93DB5"/>
    <w:rsid w:val="00D979C6"/>
    <w:rsid w:val="00DA4AB8"/>
    <w:rsid w:val="00DC50E2"/>
    <w:rsid w:val="00DC54A0"/>
    <w:rsid w:val="00DC6C9C"/>
    <w:rsid w:val="00DD0624"/>
    <w:rsid w:val="00DD13B0"/>
    <w:rsid w:val="00DD2B6E"/>
    <w:rsid w:val="00DD5838"/>
    <w:rsid w:val="00DE079B"/>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32"/>
    <w:rsid w:val="00E66C96"/>
    <w:rsid w:val="00E730A5"/>
    <w:rsid w:val="00E76535"/>
    <w:rsid w:val="00E811F3"/>
    <w:rsid w:val="00E85F91"/>
    <w:rsid w:val="00E87734"/>
    <w:rsid w:val="00E948DA"/>
    <w:rsid w:val="00EA63E1"/>
    <w:rsid w:val="00EB2C4D"/>
    <w:rsid w:val="00EB32E9"/>
    <w:rsid w:val="00EB3F46"/>
    <w:rsid w:val="00EB45CB"/>
    <w:rsid w:val="00EB78F4"/>
    <w:rsid w:val="00EC51B6"/>
    <w:rsid w:val="00EE0ED9"/>
    <w:rsid w:val="00EE23B1"/>
    <w:rsid w:val="00EE2E55"/>
    <w:rsid w:val="00EE3050"/>
    <w:rsid w:val="00EE456E"/>
    <w:rsid w:val="00EF1C05"/>
    <w:rsid w:val="00EF3951"/>
    <w:rsid w:val="00EF6426"/>
    <w:rsid w:val="00EF6552"/>
    <w:rsid w:val="00EF66DB"/>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795F"/>
    <w:rsid w:val="00F51D3D"/>
    <w:rsid w:val="00F526B6"/>
    <w:rsid w:val="00F56D4C"/>
    <w:rsid w:val="00F5730A"/>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32F0"/>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24BB19"/>
  <w15:docId w15:val="{4483A83C-7521-4496-B9B7-0C0CC1772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440"/>
    <w:pPr>
      <w:spacing w:before="120" w:after="120"/>
    </w:pPr>
    <w:rPr>
      <w:rFonts w:ascii="Arial" w:hAnsi="Arial"/>
      <w:snapToGrid w:val="0"/>
      <w:lang w:val="en-GB"/>
    </w:rPr>
  </w:style>
  <w:style w:type="paragraph" w:styleId="Heading1">
    <w:name w:val="heading 1"/>
    <w:basedOn w:val="Normal"/>
    <w:next w:val="Normal"/>
    <w:link w:val="Heading1Char1"/>
    <w:qFormat/>
    <w:rsid w:val="009D18D0"/>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D18D0"/>
    <w:pPr>
      <w:keepNext/>
      <w:outlineLvl w:val="1"/>
    </w:pPr>
    <w:rPr>
      <w:lang w:val="fr-BE"/>
    </w:rPr>
  </w:style>
  <w:style w:type="paragraph" w:styleId="Heading3">
    <w:name w:val="heading 3"/>
    <w:basedOn w:val="Normal"/>
    <w:next w:val="Normal"/>
    <w:link w:val="Heading3Char"/>
    <w:qFormat/>
    <w:rsid w:val="009D18D0"/>
    <w:pPr>
      <w:keepNext/>
      <w:framePr w:hSpace="181" w:vSpace="181" w:wrap="auto" w:vAnchor="text" w:hAnchor="text" w:y="1"/>
      <w:outlineLvl w:val="2"/>
    </w:pPr>
  </w:style>
  <w:style w:type="paragraph" w:styleId="Heading4">
    <w:name w:val="heading 4"/>
    <w:basedOn w:val="Normal"/>
    <w:next w:val="Normal"/>
    <w:link w:val="Heading4Char"/>
    <w:qFormat/>
    <w:rsid w:val="009D18D0"/>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D18D0"/>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D18D0"/>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D18D0"/>
    <w:pPr>
      <w:numPr>
        <w:ilvl w:val="6"/>
        <w:numId w:val="2"/>
      </w:numPr>
      <w:spacing w:before="240" w:after="60"/>
      <w:outlineLvl w:val="6"/>
    </w:pPr>
    <w:rPr>
      <w:lang w:val="sv-SE"/>
    </w:rPr>
  </w:style>
  <w:style w:type="paragraph" w:styleId="Heading8">
    <w:name w:val="heading 8"/>
    <w:basedOn w:val="Normal"/>
    <w:next w:val="Normal"/>
    <w:link w:val="Heading8Char"/>
    <w:qFormat/>
    <w:rsid w:val="009D18D0"/>
    <w:pPr>
      <w:numPr>
        <w:ilvl w:val="7"/>
        <w:numId w:val="2"/>
      </w:numPr>
      <w:spacing w:before="240" w:after="60"/>
      <w:outlineLvl w:val="7"/>
    </w:pPr>
    <w:rPr>
      <w:i/>
      <w:lang w:val="sv-SE"/>
    </w:rPr>
  </w:style>
  <w:style w:type="paragraph" w:styleId="Heading9">
    <w:name w:val="heading 9"/>
    <w:basedOn w:val="Normal"/>
    <w:next w:val="Normal"/>
    <w:link w:val="Heading9Char"/>
    <w:qFormat/>
    <w:rsid w:val="009D18D0"/>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D18D0"/>
    <w:pPr>
      <w:jc w:val="center"/>
    </w:pPr>
    <w:rPr>
      <w:b/>
      <w:sz w:val="28"/>
      <w:lang w:val="fr-BE"/>
    </w:rPr>
  </w:style>
  <w:style w:type="paragraph" w:styleId="Subtitle">
    <w:name w:val="Subtitle"/>
    <w:basedOn w:val="Normal"/>
    <w:link w:val="SubtitleChar"/>
    <w:qFormat/>
    <w:rsid w:val="009D18D0"/>
    <w:pPr>
      <w:jc w:val="center"/>
    </w:pPr>
    <w:rPr>
      <w:b/>
      <w:sz w:val="28"/>
      <w:lang w:val="fr-BE"/>
    </w:rPr>
  </w:style>
  <w:style w:type="paragraph" w:styleId="BodyTextIndent">
    <w:name w:val="Body Text Indent"/>
    <w:basedOn w:val="Normal"/>
    <w:link w:val="BodyTextIndentChar"/>
    <w:rsid w:val="009D18D0"/>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D18D0"/>
    <w:rPr>
      <w:lang w:val="sv-SE"/>
    </w:rPr>
  </w:style>
  <w:style w:type="paragraph" w:styleId="BodyTextIndent2">
    <w:name w:val="Body Text Indent 2"/>
    <w:basedOn w:val="Normal"/>
    <w:link w:val="BodyTextIndent2Char"/>
    <w:rsid w:val="009D18D0"/>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D18D0"/>
    <w:pPr>
      <w:tabs>
        <w:tab w:val="left" w:pos="1276"/>
      </w:tabs>
      <w:ind w:left="1276" w:hanging="425"/>
      <w:jc w:val="both"/>
    </w:pPr>
    <w:rPr>
      <w:sz w:val="24"/>
      <w:lang w:val="sv-SE"/>
    </w:rPr>
  </w:style>
  <w:style w:type="paragraph" w:customStyle="1" w:styleId="Text3">
    <w:name w:val="Text 3"/>
    <w:basedOn w:val="Normal"/>
    <w:rsid w:val="009D18D0"/>
    <w:pPr>
      <w:tabs>
        <w:tab w:val="left" w:pos="2302"/>
      </w:tabs>
      <w:spacing w:after="240"/>
      <w:ind w:left="1202"/>
      <w:jc w:val="both"/>
    </w:pPr>
    <w:rPr>
      <w:sz w:val="24"/>
    </w:rPr>
  </w:style>
  <w:style w:type="paragraph" w:styleId="Header">
    <w:name w:val="header"/>
    <w:basedOn w:val="Normal"/>
    <w:link w:val="HeaderChar"/>
    <w:rsid w:val="009D18D0"/>
    <w:pPr>
      <w:tabs>
        <w:tab w:val="center" w:pos="4320"/>
        <w:tab w:val="right" w:pos="8640"/>
      </w:tabs>
    </w:pPr>
    <w:rPr>
      <w:lang w:val="sv-SE"/>
    </w:rPr>
  </w:style>
  <w:style w:type="paragraph" w:styleId="Footer">
    <w:name w:val="footer"/>
    <w:basedOn w:val="Normal"/>
    <w:link w:val="FooterChar"/>
    <w:uiPriority w:val="99"/>
    <w:rsid w:val="009D18D0"/>
    <w:pPr>
      <w:tabs>
        <w:tab w:val="center" w:pos="4320"/>
        <w:tab w:val="right" w:pos="8640"/>
      </w:tabs>
    </w:pPr>
    <w:rPr>
      <w:lang w:val="sv-SE"/>
    </w:rPr>
  </w:style>
  <w:style w:type="character" w:styleId="PageNumber">
    <w:name w:val="page number"/>
    <w:basedOn w:val="DefaultParagraphFont"/>
    <w:rsid w:val="009D18D0"/>
  </w:style>
  <w:style w:type="paragraph" w:styleId="BodyText3">
    <w:name w:val="Body Text 3"/>
    <w:basedOn w:val="Normal"/>
    <w:link w:val="BodyText3Char"/>
    <w:rsid w:val="009D18D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D18D0"/>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D18D0"/>
    <w:rPr>
      <w:vertAlign w:val="superscript"/>
    </w:rPr>
  </w:style>
  <w:style w:type="paragraph" w:styleId="DocumentMap">
    <w:name w:val="Document Map"/>
    <w:basedOn w:val="Normal"/>
    <w:link w:val="DocumentMapChar"/>
    <w:semiHidden/>
    <w:rsid w:val="009D18D0"/>
    <w:pPr>
      <w:shd w:val="clear" w:color="auto" w:fill="000080"/>
    </w:pPr>
    <w:rPr>
      <w:sz w:val="24"/>
      <w:lang w:val="fr-FR"/>
    </w:rPr>
  </w:style>
  <w:style w:type="paragraph" w:customStyle="1" w:styleId="bulletsub">
    <w:name w:val="bullet_sub"/>
    <w:basedOn w:val="Normal"/>
    <w:rsid w:val="009D18D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D18D0"/>
    <w:pPr>
      <w:spacing w:after="240"/>
      <w:jc w:val="center"/>
    </w:pPr>
    <w:rPr>
      <w:b/>
      <w:sz w:val="40"/>
    </w:rPr>
  </w:style>
  <w:style w:type="paragraph" w:customStyle="1" w:styleId="SubTitle2">
    <w:name w:val="SubTitle 2"/>
    <w:basedOn w:val="Normal"/>
    <w:rsid w:val="009D18D0"/>
    <w:pPr>
      <w:spacing w:after="240"/>
      <w:jc w:val="center"/>
    </w:pPr>
    <w:rPr>
      <w:b/>
      <w:sz w:val="32"/>
    </w:rPr>
  </w:style>
  <w:style w:type="paragraph" w:customStyle="1" w:styleId="Annexetitle">
    <w:name w:val="Annexe_title"/>
    <w:basedOn w:val="Heading1"/>
    <w:next w:val="Normal"/>
    <w:autoRedefine/>
    <w:rsid w:val="009D18D0"/>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D18D0"/>
    <w:pPr>
      <w:keepNext/>
      <w:widowControl w:val="0"/>
      <w:tabs>
        <w:tab w:val="num" w:pos="992"/>
      </w:tabs>
      <w:ind w:left="992" w:hanging="992"/>
    </w:pPr>
    <w:rPr>
      <w:b/>
      <w:sz w:val="18"/>
      <w:lang w:val="fr-FR"/>
    </w:rPr>
  </w:style>
  <w:style w:type="paragraph" w:customStyle="1" w:styleId="titlefront">
    <w:name w:val="title_front"/>
    <w:basedOn w:val="Normal"/>
    <w:rsid w:val="009D18D0"/>
    <w:pPr>
      <w:spacing w:before="240"/>
      <w:ind w:left="1701"/>
      <w:jc w:val="right"/>
    </w:pPr>
    <w:rPr>
      <w:rFonts w:ascii="Optima" w:hAnsi="Optima"/>
      <w:b/>
      <w:sz w:val="28"/>
    </w:rPr>
  </w:style>
  <w:style w:type="paragraph" w:styleId="TOC1">
    <w:name w:val="toc 1"/>
    <w:basedOn w:val="Normal"/>
    <w:next w:val="Normal"/>
    <w:autoRedefine/>
    <w:semiHidden/>
    <w:rsid w:val="009D18D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D18D0"/>
    <w:pPr>
      <w:spacing w:before="0" w:after="0"/>
      <w:ind w:left="200"/>
    </w:pPr>
    <w:rPr>
      <w:rFonts w:ascii="Times New Roman" w:hAnsi="Times New Roman"/>
      <w:smallCaps/>
    </w:rPr>
  </w:style>
  <w:style w:type="character" w:styleId="Strong">
    <w:name w:val="Strong"/>
    <w:qFormat/>
    <w:rsid w:val="009D18D0"/>
    <w:rPr>
      <w:b/>
    </w:rPr>
  </w:style>
  <w:style w:type="paragraph" w:customStyle="1" w:styleId="Blockquote">
    <w:name w:val="Blockquote"/>
    <w:basedOn w:val="Normal"/>
    <w:rsid w:val="009D18D0"/>
    <w:pPr>
      <w:widowControl w:val="0"/>
      <w:spacing w:before="100" w:after="100"/>
      <w:ind w:left="360" w:right="360"/>
    </w:pPr>
    <w:rPr>
      <w:sz w:val="24"/>
      <w:lang w:val="en-US"/>
    </w:rPr>
  </w:style>
  <w:style w:type="paragraph" w:styleId="TOC3">
    <w:name w:val="toc 3"/>
    <w:basedOn w:val="Normal"/>
    <w:next w:val="Normal"/>
    <w:autoRedefine/>
    <w:semiHidden/>
    <w:rsid w:val="009D18D0"/>
    <w:pPr>
      <w:spacing w:before="0" w:after="0"/>
      <w:ind w:left="400"/>
    </w:pPr>
    <w:rPr>
      <w:rFonts w:ascii="Times New Roman" w:hAnsi="Times New Roman"/>
      <w:i/>
    </w:rPr>
  </w:style>
  <w:style w:type="paragraph" w:styleId="TOC4">
    <w:name w:val="toc 4"/>
    <w:basedOn w:val="Normal"/>
    <w:next w:val="Normal"/>
    <w:autoRedefine/>
    <w:semiHidden/>
    <w:rsid w:val="009D18D0"/>
    <w:pPr>
      <w:spacing w:before="0" w:after="0"/>
      <w:ind w:left="600"/>
    </w:pPr>
    <w:rPr>
      <w:rFonts w:ascii="Times New Roman" w:hAnsi="Times New Roman"/>
      <w:sz w:val="18"/>
    </w:rPr>
  </w:style>
  <w:style w:type="paragraph" w:styleId="TOC5">
    <w:name w:val="toc 5"/>
    <w:basedOn w:val="Normal"/>
    <w:next w:val="Normal"/>
    <w:autoRedefine/>
    <w:semiHidden/>
    <w:rsid w:val="009D18D0"/>
    <w:pPr>
      <w:spacing w:before="0" w:after="0"/>
      <w:ind w:left="800"/>
    </w:pPr>
    <w:rPr>
      <w:rFonts w:ascii="Times New Roman" w:hAnsi="Times New Roman"/>
      <w:sz w:val="18"/>
    </w:rPr>
  </w:style>
  <w:style w:type="paragraph" w:styleId="TOC6">
    <w:name w:val="toc 6"/>
    <w:basedOn w:val="Normal"/>
    <w:next w:val="Normal"/>
    <w:autoRedefine/>
    <w:semiHidden/>
    <w:rsid w:val="009D18D0"/>
    <w:pPr>
      <w:spacing w:before="0" w:after="0"/>
      <w:ind w:left="1000"/>
    </w:pPr>
    <w:rPr>
      <w:rFonts w:ascii="Times New Roman" w:hAnsi="Times New Roman"/>
      <w:sz w:val="18"/>
    </w:rPr>
  </w:style>
  <w:style w:type="paragraph" w:styleId="TOC7">
    <w:name w:val="toc 7"/>
    <w:basedOn w:val="Normal"/>
    <w:next w:val="Normal"/>
    <w:autoRedefine/>
    <w:semiHidden/>
    <w:rsid w:val="009D18D0"/>
    <w:pPr>
      <w:spacing w:before="0" w:after="0"/>
      <w:ind w:left="1200"/>
    </w:pPr>
    <w:rPr>
      <w:rFonts w:ascii="Times New Roman" w:hAnsi="Times New Roman"/>
      <w:sz w:val="18"/>
    </w:rPr>
  </w:style>
  <w:style w:type="paragraph" w:styleId="TOC8">
    <w:name w:val="toc 8"/>
    <w:basedOn w:val="Normal"/>
    <w:next w:val="Normal"/>
    <w:autoRedefine/>
    <w:semiHidden/>
    <w:rsid w:val="009D18D0"/>
    <w:pPr>
      <w:spacing w:before="0" w:after="0"/>
      <w:ind w:left="1400"/>
    </w:pPr>
    <w:rPr>
      <w:rFonts w:ascii="Times New Roman" w:hAnsi="Times New Roman"/>
      <w:sz w:val="18"/>
    </w:rPr>
  </w:style>
  <w:style w:type="paragraph" w:styleId="TOC9">
    <w:name w:val="toc 9"/>
    <w:basedOn w:val="Normal"/>
    <w:next w:val="Normal"/>
    <w:autoRedefine/>
    <w:semiHidden/>
    <w:rsid w:val="009D18D0"/>
    <w:pPr>
      <w:spacing w:before="0" w:after="0"/>
      <w:ind w:left="1600"/>
    </w:pPr>
    <w:rPr>
      <w:rFonts w:ascii="Times New Roman" w:hAnsi="Times New Roman"/>
      <w:sz w:val="18"/>
    </w:rPr>
  </w:style>
  <w:style w:type="character" w:styleId="FollowedHyperlink">
    <w:name w:val="FollowedHyperlink"/>
    <w:rsid w:val="009D18D0"/>
    <w:rPr>
      <w:color w:val="800080"/>
      <w:u w:val="single"/>
    </w:rPr>
  </w:style>
  <w:style w:type="paragraph" w:customStyle="1" w:styleId="Style2">
    <w:name w:val="Style2"/>
    <w:basedOn w:val="Style1"/>
    <w:rsid w:val="009D18D0"/>
    <w:pPr>
      <w:tabs>
        <w:tab w:val="clear" w:pos="992"/>
        <w:tab w:val="num" w:pos="2091"/>
      </w:tabs>
      <w:ind w:left="2977"/>
      <w:jc w:val="both"/>
    </w:pPr>
  </w:style>
  <w:style w:type="paragraph" w:customStyle="1" w:styleId="text">
    <w:name w:val="text"/>
    <w:rsid w:val="009D18D0"/>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9D18D0"/>
    <w:pPr>
      <w:widowControl w:val="0"/>
      <w:spacing w:before="0" w:after="0" w:line="360" w:lineRule="exact"/>
      <w:jc w:val="center"/>
    </w:pPr>
    <w:rPr>
      <w:b/>
      <w:sz w:val="32"/>
      <w:lang w:val="cs-CZ"/>
    </w:rPr>
  </w:style>
  <w:style w:type="paragraph" w:customStyle="1" w:styleId="ManualNumPar1">
    <w:name w:val="Manual NumPar 1"/>
    <w:basedOn w:val="Normal"/>
    <w:next w:val="Normal"/>
    <w:rsid w:val="009D18D0"/>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irs@kirs.gov.r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4</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9204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user</cp:lastModifiedBy>
  <cp:revision>16</cp:revision>
  <cp:lastPrinted>2014-02-11T14:32:00Z</cp:lastPrinted>
  <dcterms:created xsi:type="dcterms:W3CDTF">2018-12-18T11:40:00Z</dcterms:created>
  <dcterms:modified xsi:type="dcterms:W3CDTF">2021-11-21T16:07:00Z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